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Zaïra Zihlmann</w:t>
      </w:r>
    </w:p>
    <w:p>
      <w:pPr>
        <w:spacing w:after="240" w:line="240" w:lineRule="atLeast"/>
      </w:pPr>
      <w:r>
        <w:t xml:space="preserve">ORCID: 0000-0002-3592-1606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Gruber Malte-Christian</w:t>
      </w:r>
      <w:r>
        <w:rPr/>
        <w:t xml:space="preserve">/</w:t>
      </w:r>
      <w:r>
        <w:rPr>
          <w:smallCaps w:val="1"/>
          <w:caps w:val="0"/>
        </w:rPr>
        <w:t xml:space="preserve">Maatz Jann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Metamorphosen der Datenkörper, in: Rechtstheorie 2025, S. 95–118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Brieske Jasmin</w:t>
      </w:r>
      <w:r>
        <w:rPr/>
        <w:t xml:space="preserve">/</w:t>
      </w:r>
      <w:r>
        <w:rPr>
          <w:smallCaps w:val="1"/>
          <w:caps w:val="0"/>
        </w:rPr>
        <w:t xml:space="preserve">Müller Benjamin</w:t>
      </w:r>
      <w:r>
        <w:rPr/>
        <w:t xml:space="preserve">/</w:t>
      </w:r>
      <w:r>
        <w:rPr>
          <w:smallCaps w:val="1"/>
          <w:caps w:val="0"/>
        </w:rPr>
        <w:t xml:space="preserve">Pfeiffer Lars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Zeitenwende beim Datenzugang? Struktur, Inhalte und Abstimmungsbedarf der aktuellen Regelungsvorschläge, in: ZD-Aktuell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The EU Cyber Resilience Act: An Appraisal and Contextualization, in: Zeitschrift für Europarecht (EuZ) 25/2/2023, S. 1–45, https://doi.org/10.5281/zenodo.11066043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Intermediaries’ Liability in Light of the Recent EU Copyright Reform, in: Indian Journal of Intellectual Property Law 11/2021, S. 35–75, https://papers.ssrn.com/sol3/papers.cfm?abstract_id=3748328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Tamò-Larrieux Aurelia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Not Hardcoding but Softcoding Data Protection, in: Technology and Regulation 2021, S. 17–34, https://doi.org/10.26116/techreg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Zihlmann Zaïra</w:t>
      </w:r>
      <w:r>
        <w:rPr/>
        <w:t xml:space="preserve">, Gegenwärtige und zukünftige Regulierung von Genome Editing in der Pflanzenzüchtung, in: Sicherheit&amp;Recht 3/2019, S. 153–168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Spirig Eliane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Critical Legal Tech an der Universität Luzern, in: cognitio 2/2019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Gruber Malte-Christian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Körperdaten und Datenkörper, Zugänge zum digitalen Zwilling, in: Augsberg, Steffen/Düwell, Marcus/Müller, Benjamin (Hrsg.), Datenzugangsregeln, Zwischen Freigabe und Kontrolle, Frankfurt am Main 2024, S. 161–212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Zihlmann Zaïra</w:t>
      </w:r>
      <w:r>
        <w:rPr/>
        <w:t xml:space="preserve">/</w:t>
      </w:r>
      <w:r>
        <w:rPr>
          <w:smallCaps w:val="1"/>
          <w:caps w:val="0"/>
        </w:rPr>
        <w:t xml:space="preserve">Garcia Kimberly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/</w:t>
      </w:r>
      <w:r>
        <w:rPr>
          <w:smallCaps w:val="1"/>
          <w:caps w:val="0"/>
        </w:rPr>
        <w:t xml:space="preserve">Tamò-Larrieux Aurelia</w:t>
      </w:r>
      <w:r>
        <w:rPr/>
        <w:t xml:space="preserve">, A right to repair privacy-invasive services: Is a new, more holistic European approach emerging?, in: Čartolovni, Anto/Fedosov, Anton/Fosch-Villaronga, Eduard/Lutz, Christoph/Tamò-Larrieux, Aurelia (Hrsg.), Proceedings of the 2022 GoodBrother International Conference on Privacy-friendly and Trustworthy Technology for Society, Zagreb 2022, https://doi.org/10.5281/zenodo.6813377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Tamò-Larrieux Aurelia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/</w:t>
      </w:r>
      <w:r>
        <w:rPr>
          <w:smallCaps w:val="1"/>
          <w:caps w:val="0"/>
        </w:rPr>
        <w:t xml:space="preserve">Garcia Kimberly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, The Right to Customization: Conceptualizing the Right to Repair for Informational Privacy, in: Gruschka, Nils/Las Antunes, Luís Filipe/Rannenberg, Kai/Drogkaris, Prokopios (Hrsg.), Privacy Technologies and Policy, 9th Annual Privacy Forum, APF 2021, Oslo, Norway, June 17–18, 2021, Proceedings, Cham 2021, S. 3–22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García Kimberly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/</w:t>
      </w:r>
      <w:r>
        <w:rPr>
          <w:smallCaps w:val="1"/>
          <w:caps w:val="0"/>
        </w:rPr>
        <w:t xml:space="preserve">Tamò-Larrieux Aurelia</w:t>
      </w:r>
      <w:r>
        <w:rPr/>
        <w:t xml:space="preserve">/</w:t>
      </w:r>
      <w:r>
        <w:rPr>
          <w:smallCaps w:val="1"/>
          <w:caps w:val="0"/>
        </w:rPr>
        <w:t xml:space="preserve">Hooss Johannes</w:t>
      </w:r>
      <w:r>
        <w:rPr/>
        <w:t xml:space="preserve">, Towards Privacy-Friendly Smart Products, in: PST (Hrsg.), 18th International Conference on Privacy, Security and Trust, New York 2021, S. 1–7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Zihlmann Zaïra</w:t>
      </w:r>
      <w:r>
        <w:rPr/>
        <w:t xml:space="preserve">, The Proposed EU Cyber Resilience Act from a Digital Sovereignty Perspective, 2023, https://www.sectorplandls.nl/wordpress/wp-content/uploads/2023/06/Brussels-Cybersecurity-Conference-Paper-Sessions.pdf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Guitton Clement</w:t>
      </w:r>
      <w:r>
        <w:rPr/>
        <w:t xml:space="preserve">/</w:t>
      </w:r>
      <w:r>
        <w:rPr>
          <w:smallCaps w:val="1"/>
          <w:caps w:val="0"/>
        </w:rPr>
        <w:t xml:space="preserve">Tamò-Larrieux Aurelia</w:t>
      </w:r>
      <w:r>
        <w:rPr/>
        <w:t xml:space="preserve">/</w:t>
      </w:r>
      <w:r>
        <w:rPr>
          <w:smallCaps w:val="1"/>
          <w:caps w:val="0"/>
        </w:rPr>
        <w:t xml:space="preserve">Mayer Simon</w:t>
      </w:r>
      <w:r>
        <w:rPr/>
        <w:t xml:space="preserve">/</w:t>
      </w:r>
      <w:r>
        <w:rPr>
          <w:smallCaps w:val="1"/>
          <w:caps w:val="0"/>
        </w:rPr>
        <w:t xml:space="preserve">Fosch-Villaronga Eduard</w:t>
      </w:r>
      <w:r>
        <w:rPr/>
        <w:t xml:space="preserve">/</w:t>
      </w:r>
      <w:r>
        <w:rPr>
          <w:smallCaps w:val="1"/>
          <w:caps w:val="0"/>
        </w:rPr>
        <w:t xml:space="preserve">Kamara Irene</w:t>
      </w:r>
      <w:r>
        <w:rPr/>
        <w:t xml:space="preserve">/</w:t>
      </w:r>
      <w:r>
        <w:rPr>
          <w:smallCaps w:val="1"/>
          <w:caps w:val="0"/>
        </w:rPr>
        <w:t xml:space="preserve">Van Landuyt Dimitri</w:t>
      </w:r>
      <w:r>
        <w:rPr/>
        <w:t xml:space="preserve">/</w:t>
      </w:r>
      <w:r>
        <w:rPr>
          <w:smallCaps w:val="1"/>
          <w:caps w:val="0"/>
        </w:rPr>
        <w:t xml:space="preserve">Langheinrich Marc</w:t>
      </w:r>
      <w:r>
        <w:rPr/>
        <w:t xml:space="preserve">/</w:t>
      </w:r>
      <w:r>
        <w:rPr>
          <w:smallCaps w:val="1"/>
          <w:caps w:val="0"/>
        </w:rPr>
        <w:t xml:space="preserve">Pałka Przemysław</w:t>
      </w:r>
      <w:r>
        <w:rPr/>
        <w:t xml:space="preserve">/</w:t>
      </w:r>
      <w:r>
        <w:rPr>
          <w:smallCaps w:val="1"/>
          <w:caps w:val="0"/>
        </w:rPr>
        <w:t xml:space="preserve">Zihlmann Zaïra</w:t>
      </w:r>
      <w:r>
        <w:rPr/>
        <w:t xml:space="preserve">, A Framework to Determine How and Whether to Implement Automatically Processable Regulation, 2022, https://ssrn.com/abstract=4226090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Zaïra Zihlmann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Zaïra Zihlmann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