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MLaw, BSc FH Vanessa Studerus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Studerus Vanessa</w:t>
      </w:r>
      <w:r>
        <w:rPr/>
        <w:t xml:space="preserve">, Die Kriminalisierung von Ökozid als fünftes Verbrechen im Römer Statut, Rechtliche Grundlagen, Herausforderungen und Perspektiven, Luzerner Beiträge zur Rechtswissenschaft, in: Thoma, Simon/Fanger, Julian (Hrsg.), Recht und Nachhaltigkeit, Bd. 191, Zürich/Genf 2026, S. 157–191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Fingerhuth Caspar Samuel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, Kompendium der Rechtsprechung des Bundesgerichts zum Strassenverkehrsstrafrecht, in: Dähler, Manfred/Landolt, Hardy (Hrsg.), Jahrbuch zum Strassenverkehrsrecht 2026, Zürich/St. Gallen 2026, S. 273–332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(Hrsg.), Jahrbuch zum Strassenverkehrsrecht 2025, Zürich/St. Gallen 2025, S. 297–363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Symbolischer Menschenrechtsschutz, Zu Wert und Begriff menschenrechtlicher Symbolik unter besonderer Berücksichtigung der EMRK im Verhältnis zu Russland und der Schweiz, Luzerner Beiträge zur Rechtswissenschaft, in: Brand, Fabian/Meier, Tim (Hrsg.), Rechtliche Symbolik im rationalen Staat, Zur symbolischen Bedeutung des Rechts im 21. Jahrhundert, Bd. 185, Zürich/Genf 2024, S. 1–34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MLaw, BSc FH Vanessa Studerus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MLaw, BSc FH Vanessa Studerus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