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phil. Valentin Groebner</w:t>
      </w:r>
    </w:p>
    <w:p>
      <w:pPr>
        <w:spacing w:after="240" w:line="240" w:lineRule="atLeast"/>
      </w:pPr>
      <w:r>
        <w:t xml:space="preserve">ORCID: 0009-0000-1803-7192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Groebner, V. (2026). </w:t>
      </w:r>
      <w:r>
        <w:rPr>
          <w:i w:val="1"/>
          <w:iCs w:val="1"/>
        </w:rPr>
        <w:t xml:space="preserve">Reiner, intensiver, radikaler? Das Mittelalter der Gegenkultur</w:t>
      </w:r>
      <w:r>
        <w:rPr/>
        <w:t xml:space="preserve">. Göttingen: Wallstein Verlag.</w:t>
      </w:r>
    </w:p>
    <w:p>
      <w:pPr>
        <w:spacing w:after="240" w:line="240" w:lineRule="atLeast"/>
      </w:pPr>
      <w:r>
        <w:rPr/>
        <w:t xml:space="preserve">Groebner, V. (2025). </w:t>
      </w:r>
      <w:r>
        <w:rPr>
          <w:i w:val="1"/>
          <w:iCs w:val="1"/>
        </w:rPr>
        <w:t xml:space="preserve">Abgefahren. Reisen zum Vergnügen</w:t>
      </w:r>
      <w:r>
        <w:rPr/>
        <w:t xml:space="preserve">. Göttingen: Wallstein/Konstanz University Press.</w:t>
      </w:r>
    </w:p>
    <w:p>
      <w:pPr>
        <w:spacing w:after="240" w:line="240" w:lineRule="atLeast"/>
      </w:pPr>
      <w:r>
        <w:rPr/>
        <w:t xml:space="preserve">Groebner, V. (2024). </w:t>
      </w:r>
      <w:r>
        <w:rPr>
          <w:i w:val="1"/>
          <w:iCs w:val="1"/>
        </w:rPr>
        <w:t xml:space="preserve">Gefühlskino. Die gute alte Zeit aus sicherer Entfernung</w:t>
      </w:r>
      <w:r>
        <w:rPr/>
        <w:t xml:space="preserve">. Frankfurt/Main: S. Fischer.</w:t>
      </w:r>
    </w:p>
    <w:p>
      <w:pPr>
        <w:spacing w:after="240" w:line="240" w:lineRule="atLeast"/>
      </w:pPr>
      <w:r>
        <w:rPr/>
        <w:t xml:space="preserve">Groebner, V. (2023). </w:t>
      </w:r>
      <w:r>
        <w:rPr>
          <w:i w:val="1"/>
          <w:iCs w:val="1"/>
        </w:rPr>
        <w:t xml:space="preserve">Aufheben, Wegwerfen. Vom Umgang mit schönen Dingen</w:t>
      </w:r>
      <w:r>
        <w:rPr/>
        <w:t xml:space="preserve">. Konstanz/Göttingen: Konstanz University Press.</w:t>
      </w:r>
    </w:p>
    <w:p>
      <w:pPr>
        <w:spacing w:after="240" w:line="240" w:lineRule="atLeast"/>
      </w:pPr>
      <w:r>
        <w:rPr/>
        <w:t xml:space="preserve">Groebner, V. (2023). </w:t>
      </w:r>
      <w:r>
        <w:rPr>
          <w:i w:val="1"/>
          <w:iCs w:val="1"/>
        </w:rPr>
        <w:t xml:space="preserve">Zeitverschluss. Das Museum als Panikraum: (=Vienna Public History Lectures 1)</w:t>
      </w:r>
      <w:r>
        <w:rPr/>
        <w:t xml:space="preserve">. Berlin: de Gruyter.</w:t>
      </w:r>
    </w:p>
    <w:p>
      <w:pPr>
        <w:spacing w:after="240" w:line="240" w:lineRule="atLeast"/>
      </w:pPr>
      <w:r>
        <w:rPr/>
        <w:t xml:space="preserve">Badran, M., Bonetti, T., Bursztyn, K., &amp; Groebner, V. (2022). </w:t>
      </w:r>
      <w:r>
        <w:rPr>
          <w:i w:val="1"/>
          <w:iCs w:val="1"/>
        </w:rPr>
        <w:t xml:space="preserve">Ware Reinheit</w:t>
      </w:r>
      <w:r>
        <w:rPr/>
        <w:t xml:space="preserve"> (cache) (Bd. 2). Zürich: intercom. Abgerufen von https://cache.ch/warereinheit</w:t>
      </w:r>
    </w:p>
    <w:p>
      <w:pPr>
        <w:spacing w:after="240" w:line="240" w:lineRule="atLeast"/>
      </w:pPr>
      <w:r>
        <w:rPr/>
        <w:t xml:space="preserve">Groebner, V. (2021). </w:t>
      </w:r>
      <w:r>
        <w:rPr>
          <w:i w:val="1"/>
          <w:iCs w:val="1"/>
        </w:rPr>
        <w:t xml:space="preserve">Bin das ich? Eine kurze Geschichte der Selbstauskunft</w:t>
      </w:r>
      <w:r>
        <w:rPr/>
        <w:t xml:space="preserve">. Frankfurt/Main: S. Fischer.</w:t>
      </w:r>
    </w:p>
    <w:p>
      <w:pPr>
        <w:spacing w:after="240" w:line="240" w:lineRule="atLeast"/>
      </w:pPr>
      <w:r>
        <w:rPr/>
        <w:t xml:space="preserve">Groebner, V. (2020). </w:t>
      </w:r>
      <w:r>
        <w:rPr>
          <w:i w:val="1"/>
          <w:iCs w:val="1"/>
        </w:rPr>
        <w:t xml:space="preserve">Ferienmüde. Als das Reisen nicht mehr geholfen hat.</w:t>
      </w:r>
      <w:r>
        <w:rPr/>
        <w:t xml:space="preserve"> Konstanz: university press.</w:t>
      </w:r>
    </w:p>
    <w:p>
      <w:pPr>
        <w:spacing w:after="240" w:line="240" w:lineRule="atLeast"/>
      </w:pPr>
      <w:r>
        <w:rPr/>
        <w:t xml:space="preserve">Groebner, V. (2019). </w:t>
      </w:r>
      <w:r>
        <w:rPr>
          <w:i w:val="1"/>
          <w:iCs w:val="1"/>
        </w:rPr>
        <w:t xml:space="preserve">Wer redet von der Reinheit? Eine kleine Begriffsgeschichte</w:t>
      </w:r>
      <w:r>
        <w:rPr/>
        <w:t xml:space="preserve">. Wien: Passagen.</w:t>
      </w:r>
    </w:p>
    <w:p>
      <w:pPr>
        <w:spacing w:after="240" w:line="240" w:lineRule="atLeast"/>
      </w:pPr>
      <w:r>
        <w:rPr/>
        <w:t xml:space="preserve">Groebner, V. (2018). </w:t>
      </w:r>
      <w:r>
        <w:rPr>
          <w:i w:val="1"/>
          <w:iCs w:val="1"/>
        </w:rPr>
        <w:t xml:space="preserve">Retroland. Geschichtstourismus und die Sehnsucht nach dem Authentischen</w:t>
      </w:r>
      <w:r>
        <w:rPr/>
        <w:t xml:space="preserve">. Frankfurt: Fischer.</w:t>
      </w:r>
    </w:p>
    <w:p>
      <w:pPr>
        <w:spacing w:after="240" w:line="240" w:lineRule="atLeast"/>
      </w:pPr>
      <w:r>
        <w:rPr/>
        <w:t xml:space="preserve">Blatter, M., &amp; Groebner, V. (2016). </w:t>
      </w:r>
      <w:r>
        <w:rPr>
          <w:i w:val="1"/>
          <w:iCs w:val="1"/>
        </w:rPr>
        <w:t xml:space="preserve">Wilhelm Tell, Import-Export: Ein Held unterwegs</w:t>
      </w:r>
      <w:r>
        <w:rPr/>
        <w:t xml:space="preserve">. Baden: hier + jetzt. Abgerufen von http://www.hierundjetzt.ch/de/catalogue/wilhelm-tell-import-export_15000056/</w:t>
      </w:r>
    </w:p>
    <w:p>
      <w:pPr>
        <w:spacing w:after="240" w:line="240" w:lineRule="atLeast"/>
      </w:pPr>
      <w:r>
        <w:rPr/>
        <w:t xml:space="preserve">Groebner, V. (2015). </w:t>
      </w:r>
      <w:r>
        <w:rPr>
          <w:i w:val="1"/>
          <w:iCs w:val="1"/>
        </w:rPr>
        <w:t xml:space="preserve">Ich-Plakate: Eine Geschichte des Gesichts als Aufmerksamkeitsmaschine</w:t>
      </w:r>
      <w:r>
        <w:rPr/>
        <w:t xml:space="preserve">. Frankfurt/M.: S. Fischer. Abgerufen von http://www.fischerverlage.de/buch/ich-plakate/9783100024039</w:t>
      </w:r>
    </w:p>
    <w:p>
      <w:pPr>
        <w:spacing w:after="240" w:line="240" w:lineRule="atLeast"/>
      </w:pPr>
      <w:r>
        <w:rPr/>
        <w:t xml:space="preserve">Groebner, V. (2014). </w:t>
      </w:r>
      <w:r>
        <w:rPr>
          <w:i w:val="1"/>
          <w:iCs w:val="1"/>
        </w:rPr>
        <w:t xml:space="preserve">Wissenschaftssprache digital: Die Zukunft von gestern</w:t>
      </w:r>
      <w:r>
        <w:rPr/>
        <w:t xml:space="preserve">. Konstanz University Press.</w:t>
      </w:r>
    </w:p>
    <w:p>
      <w:pPr>
        <w:spacing w:after="240" w:line="240" w:lineRule="atLeast"/>
      </w:pPr>
      <w:r>
        <w:rPr/>
        <w:t xml:space="preserve">Groebner, V. (2012). </w:t>
      </w:r>
      <w:r>
        <w:rPr>
          <w:i w:val="1"/>
          <w:iCs w:val="1"/>
        </w:rPr>
        <w:t xml:space="preserve">Wissenschaftssprache: Eine Gebrachsanweisung</w:t>
      </w:r>
      <w:r>
        <w:rPr/>
        <w:t xml:space="preserve">. Konstanz University Press.</w:t>
      </w:r>
    </w:p>
    <w:p>
      <w:pPr>
        <w:spacing w:after="240" w:line="240" w:lineRule="atLeast"/>
      </w:pPr>
      <w:r>
        <w:rPr/>
        <w:t xml:space="preserve">Groebner, V. (2008). </w:t>
      </w:r>
      <w:r>
        <w:rPr>
          <w:i w:val="1"/>
          <w:iCs w:val="1"/>
        </w:rPr>
        <w:t xml:space="preserve">Das Mittelalter hört nicht auf: Über historisches Erzählen</w:t>
      </w:r>
      <w:r>
        <w:rPr/>
        <w:t xml:space="preserve">. München: C.H. Beck. Abgerufen von http://www.chbeck.de/Groebner-Mittelalter-hoert/productview.aspx?product=22844&amp;toc=3257</w:t>
      </w:r>
    </w:p>
    <w:p>
      <w:pPr>
        <w:spacing w:after="240" w:line="240" w:lineRule="atLeast"/>
      </w:pPr>
      <w:r>
        <w:rPr/>
        <w:t xml:space="preserve">Geimer, P., &amp; Groebner, V. (2006). </w:t>
      </w:r>
      <w:r>
        <w:rPr>
          <w:i w:val="1"/>
          <w:iCs w:val="1"/>
        </w:rPr>
        <w:t xml:space="preserve">Einsamer Auftritt: Gehen Sie eigentlich gerne zu Vorträgen?</w:t>
      </w:r>
      <w:r>
        <w:rPr/>
        <w:t xml:space="preserve"> (Allaphed) (Bd. 10). Leipzig: Hochschule für Grafik und Buchkunst.</w:t>
      </w:r>
    </w:p>
    <w:p>
      <w:pPr>
        <w:spacing w:after="240" w:line="240" w:lineRule="atLeast"/>
      </w:pPr>
      <w:r>
        <w:rPr/>
        <w:t xml:space="preserve">Groebner, V. (2004). </w:t>
      </w:r>
      <w:r>
        <w:rPr>
          <w:i w:val="1"/>
          <w:iCs w:val="1"/>
        </w:rPr>
        <w:t xml:space="preserve">Der Schein der Person: Steckbrief, Ausweis und Kontrolle im Mittelalter</w:t>
      </w:r>
      <w:r>
        <w:rPr/>
        <w:t xml:space="preserve">. München: C.H. Beck.</w:t>
      </w:r>
    </w:p>
    <w:p>
      <w:pPr>
        <w:spacing w:after="240" w:line="240" w:lineRule="atLeast"/>
      </w:pPr>
      <w:r>
        <w:rPr/>
        <w:t xml:space="preserve">Groebner, V. (2003). </w:t>
      </w:r>
      <w:r>
        <w:rPr>
          <w:i w:val="1"/>
          <w:iCs w:val="1"/>
        </w:rPr>
        <w:t xml:space="preserve">Ungestalten: Die visuelle Kultur der Gewalt im Mittelalter</w:t>
      </w:r>
      <w:r>
        <w:rPr/>
        <w:t xml:space="preserve">. München: Hanser.</w:t>
      </w:r>
    </w:p>
    <w:p>
      <w:pPr>
        <w:spacing w:after="240" w:line="240" w:lineRule="atLeast"/>
      </w:pPr>
      <w:r>
        <w:rPr/>
        <w:t xml:space="preserve">Groebner, V. (2002). </w:t>
      </w:r>
      <w:r>
        <w:rPr>
          <w:i w:val="1"/>
          <w:iCs w:val="1"/>
        </w:rPr>
        <w:t xml:space="preserve">Liquid Assets, Dangerous Gifts</w:t>
      </w:r>
      <w:r>
        <w:rPr/>
        <w:t xml:space="preserve">. Pennsylvania: University Press.</w:t>
      </w:r>
    </w:p>
    <w:p>
      <w:pPr>
        <w:spacing w:after="240" w:line="240" w:lineRule="atLeast"/>
      </w:pPr>
      <w:r>
        <w:rPr/>
        <w:t xml:space="preserve">Groebner, V. (1993). </w:t>
      </w:r>
      <w:r>
        <w:rPr>
          <w:i w:val="1"/>
          <w:iCs w:val="1"/>
        </w:rPr>
        <w:t xml:space="preserve">Ökonomie ohne Haus: Zum Wirtschaften der Armen in Nürnberg am Ende des 15. Jahrhunderts</w:t>
      </w:r>
      <w:r>
        <w:rPr/>
        <w:t xml:space="preserve"> (Veröffentlichungen des Max-Planck-Instituts für Geschichte) (Bd. 108). Göttingen.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Groebner, V. (2026). Das Schicksal der Ideen. </w:t>
      </w:r>
      <w:r>
        <w:rPr>
          <w:i w:val="1"/>
          <w:iCs w:val="1"/>
        </w:rPr>
        <w:t xml:space="preserve">Zeitschrift für Ideengeschichte 20</w:t>
      </w:r>
      <w:r>
        <w:rPr/>
        <w:t xml:space="preserve">, 118–121.</w:t>
      </w:r>
    </w:p>
    <w:p>
      <w:pPr>
        <w:spacing w:after="240" w:line="240" w:lineRule="atLeast"/>
      </w:pPr>
      <w:r>
        <w:rPr/>
        <w:t xml:space="preserve">Groebner, V. (2024). Mitten in Europa. Das Osmanische Reich als Herausforderung für den Geschichtsunterricht. </w:t>
      </w:r>
      <w:r>
        <w:rPr>
          <w:i w:val="1"/>
          <w:iCs w:val="1"/>
        </w:rPr>
        <w:t xml:space="preserve">Bulletin des Vereins Schweizerischer Geschichtslehrpersonen</w:t>
      </w:r>
      <w:r>
        <w:rPr/>
        <w:t xml:space="preserve">, 21–25.</w:t>
      </w:r>
    </w:p>
    <w:p>
      <w:pPr>
        <w:spacing w:after="240" w:line="240" w:lineRule="atLeast"/>
      </w:pPr>
      <w:r>
        <w:rPr/>
        <w:t xml:space="preserve">Groebner, V. (2023). Idealstadt in den Bergen. </w:t>
      </w:r>
      <w:r>
        <w:rPr>
          <w:i w:val="1"/>
          <w:iCs w:val="1"/>
        </w:rPr>
        <w:t xml:space="preserve">werk, bauen + wohnen</w:t>
      </w:r>
      <w:r>
        <w:rPr/>
        <w:t xml:space="preserve">, (4), 60–68.</w:t>
      </w:r>
    </w:p>
    <w:p>
      <w:pPr>
        <w:spacing w:after="240" w:line="240" w:lineRule="atLeast"/>
      </w:pPr>
      <w:r>
        <w:rPr/>
        <w:t xml:space="preserve">Groebner, V. (2023). Im Land der alten Frauen. Ein Reisebericht. </w:t>
      </w:r>
      <w:r>
        <w:rPr>
          <w:i w:val="1"/>
          <w:iCs w:val="1"/>
        </w:rPr>
        <w:t xml:space="preserve">wespennest. zeitschrift für brauchbare texte und bilder</w:t>
      </w:r>
      <w:r>
        <w:rPr/>
        <w:t xml:space="preserve">, (184), 73–77.</w:t>
      </w:r>
    </w:p>
    <w:p>
      <w:pPr>
        <w:spacing w:after="240" w:line="240" w:lineRule="atLeast"/>
      </w:pPr>
      <w:r>
        <w:rPr/>
        <w:t xml:space="preserve">Groebner, V. (2020). Die Seuche, der Staat und die lieben Nachbarn. Florenz 1631. </w:t>
      </w:r>
      <w:r>
        <w:rPr>
          <w:i w:val="1"/>
          <w:iCs w:val="1"/>
        </w:rPr>
        <w:t xml:space="preserve">Merkur. Deutsche Zeitschrift für europäisches Denken</w:t>
      </w:r>
      <w:r>
        <w:rPr/>
        <w:t xml:space="preserve">, </w:t>
      </w:r>
      <w:r>
        <w:rPr>
          <w:i w:val="1"/>
          <w:iCs w:val="1"/>
        </w:rPr>
        <w:t xml:space="preserve">853</w:t>
      </w:r>
      <w:r>
        <w:rPr/>
        <w:t xml:space="preserve">, 64–72.</w:t>
      </w:r>
    </w:p>
    <w:p>
      <w:pPr>
        <w:spacing w:after="240" w:line="240" w:lineRule="atLeast"/>
      </w:pPr>
      <w:r>
        <w:rPr/>
        <w:t xml:space="preserve">Groebner, V. (2020). Es passt einfach. Auf Klassenfahrt ins neue alte Bürgertum. </w:t>
      </w:r>
      <w:r>
        <w:rPr>
          <w:i w:val="1"/>
          <w:iCs w:val="1"/>
        </w:rPr>
        <w:t xml:space="preserve">wespennest</w:t>
      </w:r>
      <w:r>
        <w:rPr/>
        <w:t xml:space="preserve">, </w:t>
      </w:r>
      <w:r>
        <w:rPr>
          <w:i w:val="1"/>
          <w:iCs w:val="1"/>
        </w:rPr>
        <w:t xml:space="preserve">178</w:t>
      </w:r>
      <w:r>
        <w:rPr/>
        <w:t xml:space="preserve">, 70–73.</w:t>
      </w:r>
    </w:p>
    <w:p>
      <w:pPr>
        <w:spacing w:after="240" w:line="240" w:lineRule="atLeast"/>
      </w:pPr>
      <w:r>
        <w:rPr/>
        <w:t xml:space="preserve">Groebner, V. (2020). Feines Rauschen im Farbraum. </w:t>
      </w:r>
      <w:r>
        <w:rPr>
          <w:i w:val="1"/>
          <w:iCs w:val="1"/>
        </w:rPr>
        <w:t xml:space="preserve">Fotogeschichte</w:t>
      </w:r>
      <w:r>
        <w:rPr/>
        <w:t xml:space="preserve">, </w:t>
      </w:r>
      <w:r>
        <w:rPr>
          <w:i w:val="1"/>
          <w:iCs w:val="1"/>
        </w:rPr>
        <w:t xml:space="preserve">158</w:t>
      </w:r>
      <w:r>
        <w:rPr/>
        <w:t xml:space="preserve">, 15–16.</w:t>
      </w:r>
    </w:p>
    <w:p>
      <w:pPr>
        <w:spacing w:after="240" w:line="240" w:lineRule="atLeast"/>
      </w:pPr>
      <w:r>
        <w:rPr/>
        <w:t xml:space="preserve">Groebner, V. (2019). Renaissance als Gipfelgefühl. Bemerkungen zum 200. Geburtstag von Jacob Burckhardt. </w:t>
      </w:r>
      <w:r>
        <w:rPr>
          <w:i w:val="1"/>
          <w:iCs w:val="1"/>
        </w:rPr>
        <w:t xml:space="preserve">Traverse. Zeitschrift für Geschichte</w:t>
      </w:r>
      <w:r>
        <w:rPr/>
        <w:t xml:space="preserve">, (1), 147–160.</w:t>
      </w:r>
    </w:p>
    <w:p>
      <w:pPr>
        <w:spacing w:after="240" w:line="240" w:lineRule="atLeast"/>
      </w:pPr>
      <w:r>
        <w:rPr/>
        <w:t xml:space="preserve">Groebner, V. (2018). Identität. Anmerkungen zu einem politischen Schlagwort. </w:t>
      </w:r>
      <w:r>
        <w:rPr>
          <w:i w:val="1"/>
          <w:iCs w:val="1"/>
        </w:rPr>
        <w:t xml:space="preserve">Zeitschrift für Ideengeschichte</w:t>
      </w:r>
      <w:r>
        <w:rPr/>
        <w:t xml:space="preserve">, (3), 109–115.</w:t>
      </w:r>
    </w:p>
    <w:p>
      <w:pPr>
        <w:spacing w:after="240" w:line="240" w:lineRule="atLeast"/>
      </w:pPr>
      <w:r>
        <w:rPr/>
        <w:t xml:space="preserve">Groebner, V. (2018). Der Eisberg. Vergängliche Bilder, massenhaft. </w:t>
      </w:r>
      <w:r>
        <w:rPr>
          <w:i w:val="1"/>
          <w:iCs w:val="1"/>
        </w:rPr>
        <w:t xml:space="preserve">Fotogeschichte</w:t>
      </w:r>
      <w:r>
        <w:rPr/>
        <w:t xml:space="preserve">, </w:t>
      </w:r>
      <w:r>
        <w:rPr>
          <w:i w:val="1"/>
          <w:iCs w:val="1"/>
        </w:rPr>
        <w:t xml:space="preserve">149</w:t>
      </w:r>
      <w:r>
        <w:rPr/>
        <w:t xml:space="preserve">, 13–20.</w:t>
      </w:r>
    </w:p>
    <w:p>
      <w:pPr>
        <w:spacing w:after="240" w:line="240" w:lineRule="atLeast"/>
      </w:pPr>
      <w:r>
        <w:rPr/>
        <w:t xml:space="preserve">Groebner, V. (2017). I am legend, sagt die Armbrust. </w:t>
      </w:r>
      <w:r>
        <w:rPr>
          <w:i w:val="1"/>
          <w:iCs w:val="1"/>
        </w:rPr>
        <w:t xml:space="preserve">Legenden, Akzente 64</w:t>
      </w:r>
      <w:r>
        <w:rPr/>
        <w:t xml:space="preserve">, (4), 53–57.</w:t>
      </w:r>
    </w:p>
    <w:p>
      <w:pPr>
        <w:spacing w:after="240" w:line="240" w:lineRule="atLeast"/>
      </w:pPr>
      <w:r>
        <w:rPr/>
        <w:t xml:space="preserve">Groebner, V. (2017). Glaub mir, ich lüge. Die guten Seiten der falschen Nachrichten. </w:t>
      </w:r>
      <w:r>
        <w:rPr>
          <w:i w:val="1"/>
          <w:iCs w:val="1"/>
        </w:rPr>
        <w:t xml:space="preserve">wespennest</w:t>
      </w:r>
      <w:r>
        <w:rPr/>
        <w:t xml:space="preserve">, </w:t>
      </w:r>
      <w:r>
        <w:rPr>
          <w:i w:val="1"/>
          <w:iCs w:val="1"/>
        </w:rPr>
        <w:t xml:space="preserve">137</w:t>
      </w:r>
      <w:r>
        <w:rPr/>
        <w:t xml:space="preserve">, 4–9.</w:t>
      </w:r>
    </w:p>
    <w:p>
      <w:pPr>
        <w:spacing w:after="240" w:line="240" w:lineRule="atLeast"/>
      </w:pPr>
      <w:r>
        <w:rPr/>
        <w:t xml:space="preserve">Groebner, V. (2017). Roots, Replica, Replay: European Medievalisms after 1945. </w:t>
      </w:r>
      <w:r>
        <w:rPr>
          <w:i w:val="1"/>
          <w:iCs w:val="1"/>
        </w:rPr>
        <w:t xml:space="preserve">Práticas da História, Journal on Theory, Historiography and Uses of the Past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, 113–126.</w:t>
      </w:r>
    </w:p>
    <w:p>
      <w:pPr>
        <w:spacing w:after="240" w:line="240" w:lineRule="atLeast"/>
      </w:pPr>
      <w:r>
        <w:rPr/>
        <w:t xml:space="preserve">Groebner, V. (2016). Das digitale Paradies. Lesen, Schreiben und Verschwinden in der elektrifizierten Gelehrtenrepublik. </w:t>
      </w:r>
      <w:r>
        <w:rPr>
          <w:i w:val="1"/>
          <w:iCs w:val="1"/>
        </w:rPr>
        <w:t xml:space="preserve">Jahrbuch für Buch- und Bibliotheksgeschichte 1</w:t>
      </w:r>
      <w:r>
        <w:rPr/>
        <w:t xml:space="preserve">, 125–139.</w:t>
      </w:r>
    </w:p>
    <w:p>
      <w:pPr>
        <w:spacing w:after="240" w:line="240" w:lineRule="atLeast"/>
      </w:pPr>
      <w:r>
        <w:rPr/>
        <w:t xml:space="preserve">Groebner, V. (2015). Mit Dante und Diderot nach Digitalien: Wieviel will die Wissensgeschichte von sich selber wissen? </w:t>
      </w:r>
      <w:r>
        <w:rPr>
          <w:i w:val="1"/>
          <w:iCs w:val="1"/>
        </w:rPr>
        <w:t xml:space="preserve">Merkur. Zeitschrift für europäisches Denken</w:t>
      </w:r>
      <w:r>
        <w:rPr/>
        <w:t xml:space="preserve">, </w:t>
      </w:r>
      <w:r>
        <w:rPr>
          <w:i w:val="1"/>
          <w:iCs w:val="1"/>
        </w:rPr>
        <w:t xml:space="preserve">69</w:t>
      </w:r>
      <w:r>
        <w:rPr/>
        <w:t xml:space="preserve"> (788), 65–71.</w:t>
      </w:r>
    </w:p>
    <w:p>
      <w:pPr>
        <w:spacing w:after="240" w:line="240" w:lineRule="atLeast"/>
      </w:pPr>
      <w:r>
        <w:rPr/>
        <w:t xml:space="preserve">Groebner, V. (2014). Soldatenfotos für die schwarze Madonna. </w:t>
      </w:r>
      <w:r>
        <w:rPr>
          <w:i w:val="1"/>
          <w:iCs w:val="1"/>
        </w:rPr>
        <w:t xml:space="preserve">Zeitschrift für Ideengeschichte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(2), 77–97.</w:t>
      </w:r>
    </w:p>
    <w:p>
      <w:pPr>
        <w:spacing w:after="240" w:line="240" w:lineRule="atLeast"/>
      </w:pPr>
      <w:r>
        <w:rPr/>
        <w:t xml:space="preserve">Groebner, V. (2013). Nach der Megabit-Bombe: Wissenschaftliches Publizieren im Zeitalter des Internets, historisch gesehen. </w:t>
      </w:r>
      <w:r>
        <w:rPr>
          <w:i w:val="1"/>
          <w:iCs w:val="1"/>
        </w:rPr>
        <w:t xml:space="preserve">Mittelweg 36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 (4), 29–37. Abgerufen von http://www.his-online.de/zeitschrift/mw36-archiv/1225/42013/?sms_his_publikationen%5BbackPID%5D=21&amp;cHash=82ad2bb1fa45f4b50feef96fbdb60ca7</w:t>
      </w:r>
    </w:p>
    <w:p>
      <w:pPr>
        <w:spacing w:after="240" w:line="240" w:lineRule="atLeast"/>
      </w:pPr>
      <w:r>
        <w:rPr/>
        <w:t xml:space="preserve">Groebner, V. (2013). Touristischer Geschichtsgebrauch: Über einige Merkmale neuer Vergangenheiten im 20. und 21. Jahrhundert. </w:t>
      </w:r>
      <w:r>
        <w:rPr>
          <w:i w:val="1"/>
          <w:iCs w:val="1"/>
        </w:rPr>
        <w:t xml:space="preserve">Historische Zeitschrift</w:t>
      </w:r>
      <w:r>
        <w:rPr/>
        <w:t xml:space="preserve">, </w:t>
      </w:r>
      <w:r>
        <w:rPr>
          <w:i w:val="1"/>
          <w:iCs w:val="1"/>
        </w:rPr>
        <w:t xml:space="preserve">296</w:t>
      </w:r>
      <w:r>
        <w:rPr/>
        <w:t xml:space="preserve">, 408–428.</w:t>
      </w:r>
    </w:p>
    <w:p>
      <w:pPr>
        <w:spacing w:after="240" w:line="240" w:lineRule="atLeast"/>
      </w:pPr>
      <w:r>
        <w:rPr/>
        <w:t xml:space="preserve">Groebner, V. (2012). Berührende Bilder: Gewaltfotos, Magie, Werbung. </w:t>
      </w:r>
      <w:r>
        <w:rPr>
          <w:i w:val="1"/>
          <w:iCs w:val="1"/>
        </w:rPr>
        <w:t xml:space="preserve">Fotogeschichte</w:t>
      </w:r>
      <w:r>
        <w:rPr/>
        <w:t xml:space="preserve">, </w:t>
      </w:r>
      <w:r>
        <w:rPr>
          <w:i w:val="1"/>
          <w:iCs w:val="1"/>
        </w:rPr>
        <w:t xml:space="preserve">125</w:t>
      </w:r>
      <w:r>
        <w:rPr/>
        <w:t xml:space="preserve">, 39–48.</w:t>
      </w:r>
    </w:p>
    <w:p>
      <w:pPr>
        <w:spacing w:after="240" w:line="240" w:lineRule="atLeast"/>
      </w:pPr>
      <w:r>
        <w:rPr/>
        <w:t xml:space="preserve">Groebner, V. (2012). Porträt, Passbild, Werbeplakat: Neue Identitäten aus dem Mittelalter. </w:t>
      </w:r>
      <w:r>
        <w:rPr>
          <w:i w:val="1"/>
          <w:iCs w:val="1"/>
        </w:rPr>
        <w:t xml:space="preserve">Merkur. Zeitschrift für europäisches Denken</w:t>
      </w:r>
      <w:r>
        <w:rPr/>
        <w:t xml:space="preserve">, </w:t>
      </w:r>
      <w:r>
        <w:rPr>
          <w:i w:val="1"/>
          <w:iCs w:val="1"/>
        </w:rPr>
        <w:t xml:space="preserve">757</w:t>
      </w:r>
      <w:r>
        <w:rPr/>
        <w:t xml:space="preserve">, 498–509.</w:t>
      </w:r>
    </w:p>
    <w:p>
      <w:pPr>
        <w:spacing w:after="240" w:line="240" w:lineRule="atLeast"/>
      </w:pPr>
      <w:r>
        <w:rPr/>
        <w:t xml:space="preserve">Groebner, V. (2010). Menschenbilder auf dem Fleischmarkt: Seit wann ist der menschliche Körper eine Ware? </w:t>
      </w:r>
      <w:r>
        <w:rPr>
          <w:i w:val="1"/>
          <w:iCs w:val="1"/>
        </w:rPr>
        <w:t xml:space="preserve">Ethik in der Medizin</w:t>
      </w:r>
      <w:r>
        <w:rPr/>
        <w:t xml:space="preserve">, </w:t>
      </w:r>
      <w:r>
        <w:rPr>
          <w:i w:val="1"/>
          <w:iCs w:val="1"/>
        </w:rPr>
        <w:t xml:space="preserve">23</w:t>
      </w:r>
      <w:r>
        <w:rPr/>
        <w:t xml:space="preserve">, 5–14.</w:t>
      </w:r>
    </w:p>
    <w:p>
      <w:pPr>
        <w:spacing w:after="240" w:line="240" w:lineRule="atLeast"/>
      </w:pPr>
      <w:r>
        <w:rPr/>
        <w:t xml:space="preserve">Groebner, V. (2007). Mit dem Feind schlafen: Nachdenken über Hautfarben, Sex und "Rasse" im spätmittelalterlichen Europa. </w:t>
      </w:r>
      <w:r>
        <w:rPr>
          <w:i w:val="1"/>
          <w:iCs w:val="1"/>
        </w:rPr>
        <w:t xml:space="preserve">Historische Anthropologie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(3), 431–448.</w:t>
      </w:r>
    </w:p>
    <w:p>
      <w:pPr>
        <w:spacing w:after="240" w:line="240" w:lineRule="atLeast"/>
      </w:pPr>
      <w:r>
        <w:rPr/>
        <w:t xml:space="preserve">Groebner, V. (2007). Schock, Abscheu, schickes Thema: Warum arbeiten die Kulturwissenschaften im 21. Jahrhundert über Gewalt in der Vormoderne. </w:t>
      </w:r>
      <w:r>
        <w:rPr>
          <w:i w:val="1"/>
          <w:iCs w:val="1"/>
        </w:rPr>
        <w:t xml:space="preserve">Zeitschrift für Ideengeschichte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 (3), 79–83.</w:t>
      </w:r>
    </w:p>
    <w:p>
      <w:pPr>
        <w:spacing w:after="240" w:line="240" w:lineRule="atLeast"/>
      </w:pPr>
      <w:r>
        <w:rPr/>
        <w:t xml:space="preserve">Groebner, V. (2007). Fleisch und Blut, Haut und Haar: Vermarktete Körperteile historisch. </w:t>
      </w:r>
      <w:r>
        <w:rPr>
          <w:i w:val="1"/>
          <w:iCs w:val="1"/>
        </w:rPr>
        <w:t xml:space="preserve">Mittelweg 36, Zeitschrift des Hamburger Instituts für Sozialforschung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, 58–73.</w:t>
      </w:r>
    </w:p>
    <w:p>
      <w:pPr>
        <w:spacing w:after="240" w:line="240" w:lineRule="atLeast"/>
      </w:pPr>
      <w:r>
        <w:rPr/>
        <w:t xml:space="preserve">Groebner, V. (2005). Körper auf dem Markt: Söldner, Organhandel und die Geschichte der Körpergeschichte. </w:t>
      </w:r>
      <w:r>
        <w:rPr>
          <w:i w:val="1"/>
          <w:iCs w:val="1"/>
        </w:rPr>
        <w:t xml:space="preserve">Mittelweg 36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(6), 69–84.</w:t>
      </w:r>
    </w:p>
    <w:p>
      <w:pPr>
        <w:spacing w:after="240" w:line="240" w:lineRule="atLeast"/>
      </w:pPr>
      <w:r>
        <w:rPr/>
        <w:t xml:space="preserve">Groebner, V. (2003). Haben Hautfarben eine Geschichte? Personenbeschreibungen und ihre Kategorien zwischen dem 13. und dem 16. Jahrhundert. </w:t>
      </w:r>
      <w:r>
        <w:rPr>
          <w:i w:val="1"/>
          <w:iCs w:val="1"/>
        </w:rPr>
        <w:t xml:space="preserve">Zeitschrift für historische Forschung</w:t>
      </w:r>
      <w:r>
        <w:rPr/>
        <w:t xml:space="preserve">, (30), 1–18.</w:t>
      </w:r>
    </w:p>
    <w:p>
      <w:pPr>
        <w:spacing w:after="240" w:line="240" w:lineRule="atLeast"/>
      </w:pPr>
      <w:r>
        <w:rPr/>
        <w:t xml:space="preserve">Groebner, V. (2002). Diese Zumutung kommt von Herzen: Geschenkegeschichten. </w:t>
      </w:r>
      <w:r>
        <w:rPr>
          <w:i w:val="1"/>
          <w:iCs w:val="1"/>
        </w:rPr>
        <w:t xml:space="preserve">Neue Rundschau</w:t>
      </w:r>
      <w:r>
        <w:rPr/>
        <w:t xml:space="preserve">, </w:t>
      </w:r>
      <w:r>
        <w:rPr>
          <w:i w:val="1"/>
          <w:iCs w:val="1"/>
        </w:rPr>
        <w:t xml:space="preserve">113</w:t>
      </w:r>
      <w:r>
        <w:rPr/>
        <w:t xml:space="preserve"> (2), 69–75.</w:t>
      </w:r>
    </w:p>
    <w:p>
      <w:pPr>
        <w:spacing w:after="240" w:line="240" w:lineRule="atLeast"/>
      </w:pPr>
      <w:r>
        <w:rPr/>
        <w:t xml:space="preserve">Groebner, V. (2002). Liebesgaben: Zu Geschenken, Freiwilligkeit und Abhängigkeit zwischen dem 14. und dem 16. Jahrhundert. </w:t>
      </w:r>
      <w:r>
        <w:rPr>
          <w:i w:val="1"/>
          <w:iCs w:val="1"/>
        </w:rPr>
        <w:t xml:space="preserve">Traverse. Zeitschrift für Geschichte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(2), 39–52.</w:t>
      </w:r>
    </w:p>
    <w:p>
      <w:pPr>
        <w:spacing w:after="240" w:line="240" w:lineRule="atLeast"/>
      </w:pPr>
      <w:r>
        <w:rPr/>
        <w:t xml:space="preserve">Groebner, V. (2001). Steckbriefe, Ausweise, besondere Kennzeichen: Überlegungen zu einer Geschichte der Personenbeschreibung. </w:t>
      </w:r>
      <w:r>
        <w:rPr>
          <w:i w:val="1"/>
          <w:iCs w:val="1"/>
        </w:rPr>
        <w:t xml:space="preserve">Annali dell´Istituto storico italo-germanico in Trento</w:t>
      </w:r>
      <w:r>
        <w:rPr/>
        <w:t xml:space="preserve">, </w:t>
      </w:r>
      <w:r>
        <w:rPr>
          <w:i w:val="1"/>
          <w:iCs w:val="1"/>
        </w:rPr>
        <w:t xml:space="preserve">27</w:t>
      </w:r>
      <w:r>
        <w:rPr/>
        <w:t xml:space="preserve">, 57–71.</w:t>
      </w:r>
    </w:p>
    <w:p>
      <w:pPr>
        <w:spacing w:after="240" w:line="240" w:lineRule="atLeast"/>
      </w:pPr>
      <w:r>
        <w:rPr/>
        <w:t xml:space="preserve">Groebner, V. (1999). Insides Out: Clothes, Dissimulation and the Arts of Accounting in the autobiography of Matthaeus Schwarz (1498-1574). </w:t>
      </w:r>
      <w:r>
        <w:rPr>
          <w:i w:val="1"/>
          <w:iCs w:val="1"/>
        </w:rPr>
        <w:t xml:space="preserve">Representations</w:t>
      </w:r>
      <w:r>
        <w:rPr/>
        <w:t xml:space="preserve">, </w:t>
      </w:r>
      <w:r>
        <w:rPr>
          <w:i w:val="1"/>
          <w:iCs w:val="1"/>
        </w:rPr>
        <w:t xml:space="preserve">66</w:t>
      </w:r>
      <w:r>
        <w:rPr/>
        <w:t xml:space="preserve">, 52–72.</w:t>
      </w:r>
    </w:p>
    <w:p>
      <w:pPr>
        <w:spacing w:after="240" w:line="240" w:lineRule="atLeast"/>
      </w:pPr>
      <w:r>
        <w:rPr/>
        <w:t xml:space="preserve">Groebner, V. (1999). Körpergeschichte politisch: Montaigne und die Ordnungen der Natur in den französischen Religionskriegen 1572-1592. </w:t>
      </w:r>
      <w:r>
        <w:rPr>
          <w:i w:val="1"/>
          <w:iCs w:val="1"/>
        </w:rPr>
        <w:t xml:space="preserve">Historische Zeitschrift</w:t>
      </w:r>
      <w:r>
        <w:rPr/>
        <w:t xml:space="preserve">, </w:t>
      </w:r>
      <w:r>
        <w:rPr>
          <w:i w:val="1"/>
          <w:iCs w:val="1"/>
        </w:rPr>
        <w:t xml:space="preserve">258</w:t>
      </w:r>
      <w:r>
        <w:rPr/>
        <w:t xml:space="preserve">, 281–304.</w:t>
      </w:r>
    </w:p>
    <w:p>
      <w:pPr>
        <w:spacing w:after="240" w:line="240" w:lineRule="atLeast"/>
      </w:pPr>
      <w:r>
        <w:rPr/>
        <w:t xml:space="preserve">Groebner, V. (1999). La forza, i concetti ed il classico: Otto Brunner letto da Gadi Algazi. </w:t>
      </w:r>
      <w:r>
        <w:rPr>
          <w:i w:val="1"/>
          <w:iCs w:val="1"/>
        </w:rPr>
        <w:t xml:space="preserve">Rivista storica italiana</w:t>
      </w:r>
      <w:r>
        <w:rPr/>
        <w:t xml:space="preserve">, </w:t>
      </w:r>
      <w:r>
        <w:rPr>
          <w:i w:val="1"/>
          <w:iCs w:val="1"/>
        </w:rPr>
        <w:t xml:space="preserve">61</w:t>
      </w:r>
      <w:r>
        <w:rPr/>
        <w:t xml:space="preserve">, 121–134.</w:t>
      </w:r>
    </w:p>
    <w:p>
      <w:pPr>
        <w:spacing w:after="240" w:line="240" w:lineRule="atLeast"/>
      </w:pPr>
      <w:r>
        <w:rPr/>
        <w:t xml:space="preserve">Groebner, V. (1999). ‘Gemein‘ und ‚Geheym‘: Pensionen, Geschenke, und die Sichtbarmachung des Unsichtbaren in Basel am Beginn des 16. Jahrhunderts. </w:t>
      </w:r>
      <w:r>
        <w:rPr>
          <w:i w:val="1"/>
          <w:iCs w:val="1"/>
        </w:rPr>
        <w:t xml:space="preserve">Schweizerische Zeitschrift für Geschichte</w:t>
      </w:r>
      <w:r>
        <w:rPr/>
        <w:t xml:space="preserve">, </w:t>
      </w:r>
      <w:r>
        <w:rPr>
          <w:i w:val="1"/>
          <w:iCs w:val="1"/>
        </w:rPr>
        <w:t xml:space="preserve">49</w:t>
      </w:r>
      <w:r>
        <w:rPr/>
        <w:t xml:space="preserve">, 445–469.</w:t>
      </w:r>
    </w:p>
    <w:p>
      <w:pPr>
        <w:spacing w:after="240" w:line="240" w:lineRule="atLeast"/>
      </w:pPr>
      <w:r>
        <w:rPr/>
        <w:t xml:space="preserve">Groebner, V. (1998). Die Kleider des Körpers des Kaufmanns: Zum "Trachtenbuch" eines Augsburger Bürgers im 16. Jahrhundert. </w:t>
      </w:r>
      <w:r>
        <w:rPr>
          <w:i w:val="1"/>
          <w:iCs w:val="1"/>
        </w:rPr>
        <w:t xml:space="preserve">Zeitschrift für historische Forschung</w:t>
      </w:r>
      <w:r>
        <w:rPr/>
        <w:t xml:space="preserve">, </w:t>
      </w:r>
      <w:r>
        <w:rPr>
          <w:i w:val="1"/>
          <w:iCs w:val="1"/>
        </w:rPr>
        <w:t xml:space="preserve">25</w:t>
      </w:r>
      <w:r>
        <w:rPr/>
        <w:t xml:space="preserve">, 323–358.</w:t>
      </w:r>
    </w:p>
    <w:p>
      <w:pPr>
        <w:spacing w:after="240" w:line="240" w:lineRule="atLeast"/>
      </w:pPr>
      <w:r>
        <w:rPr/>
        <w:t xml:space="preserve">Groebner, V. (1995). Ausser Haus: Otto Brunner und die ´alteuropäische Ökonomik´. </w:t>
      </w:r>
      <w:r>
        <w:rPr>
          <w:i w:val="1"/>
          <w:iCs w:val="1"/>
        </w:rPr>
        <w:t xml:space="preserve">Geschichte in Wissenschaft und Unterricht</w:t>
      </w:r>
      <w:r>
        <w:rPr/>
        <w:t xml:space="preserve">, </w:t>
      </w:r>
      <w:r>
        <w:rPr>
          <w:i w:val="1"/>
          <w:iCs w:val="1"/>
        </w:rPr>
        <w:t xml:space="preserve">46</w:t>
      </w:r>
      <w:r>
        <w:rPr/>
        <w:t xml:space="preserve"> (2), 69–80.</w:t>
      </w:r>
    </w:p>
    <w:p>
      <w:pPr>
        <w:spacing w:after="240" w:line="240" w:lineRule="atLeast"/>
      </w:pPr>
      <w:r>
        <w:rPr/>
        <w:t xml:space="preserve">Groebner, V. (1995). Losing Face, Saving Face: Noses and Honour in the Late Medieval Town. </w:t>
      </w:r>
      <w:r>
        <w:rPr>
          <w:i w:val="1"/>
          <w:iCs w:val="1"/>
        </w:rPr>
        <w:t xml:space="preserve">History Workshop Journal</w:t>
      </w:r>
      <w:r>
        <w:rPr/>
        <w:t xml:space="preserve">, </w:t>
      </w:r>
      <w:r>
        <w:rPr>
          <w:i w:val="1"/>
          <w:iCs w:val="1"/>
        </w:rPr>
        <w:t xml:space="preserve">40</w:t>
      </w:r>
      <w:r>
        <w:rPr/>
        <w:t xml:space="preserve">, 1–16.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Groebner, V. (2026). 1470 – Sarnen. Der Held mit Armbrust kommt am Schreibtisch zur Welt. In Dasen, Véronique (Hrsg.), </w:t>
      </w:r>
      <w:r>
        <w:rPr>
          <w:i w:val="1"/>
          <w:iCs w:val="1"/>
        </w:rPr>
        <w:t xml:space="preserve">Weltgeschichte der Schweiz</w:t>
      </w:r>
      <w:r>
        <w:rPr/>
        <w:t xml:space="preserve"> (S. 159–164). Baden: hier + jetzt.</w:t>
      </w:r>
    </w:p>
    <w:p>
      <w:pPr>
        <w:spacing w:after="240" w:line="240" w:lineRule="atLeast"/>
      </w:pPr>
      <w:r>
        <w:rPr/>
        <w:t xml:space="preserve">Groebner, V. (2026). Hohe Berge, tiefe Ursprünge. Die innerschweiz als Vorstellung. In Hirtler, Christof Hirtler &amp; Bolli, Thomas (Hrsg.), </w:t>
      </w:r>
      <w:r>
        <w:rPr>
          <w:i w:val="1"/>
          <w:iCs w:val="1"/>
        </w:rPr>
        <w:t xml:space="preserve">Im Verborgenen. Reportagen aus der Innerschweiz</w:t>
      </w:r>
      <w:r>
        <w:rPr/>
        <w:t xml:space="preserve"> (S. 6–11). Altdorf: bildfluss Verlag.</w:t>
      </w:r>
    </w:p>
    <w:p>
      <w:pPr>
        <w:spacing w:after="240" w:line="240" w:lineRule="atLeast"/>
      </w:pPr>
      <w:r>
        <w:rPr/>
        <w:t xml:space="preserve">Groebner, V. (2026). Madame F zieht der Welt die Haut ab. In Hess, Wendelin Hess &amp; Wyss Jesse (Hrsg.), </w:t>
      </w:r>
      <w:r>
        <w:rPr>
          <w:i w:val="1"/>
          <w:iCs w:val="1"/>
        </w:rPr>
        <w:t xml:space="preserve">Andri Pol: Welt.</w:t>
      </w:r>
      <w:r>
        <w:rPr/>
        <w:t xml:space="preserve"> Zürich: Scheidegger &amp; Spiess.</w:t>
      </w:r>
    </w:p>
    <w:p>
      <w:pPr>
        <w:spacing w:after="240" w:line="240" w:lineRule="atLeast"/>
      </w:pPr>
      <w:r>
        <w:rPr/>
        <w:t xml:space="preserve">Groebner, V. (2026). Tourismus und Beabenteuerung. In Bleisch, Barbara &amp; Lissmann, Konrad Paul Lissmann (Hrsg.), </w:t>
      </w:r>
      <w:r>
        <w:rPr>
          <w:i w:val="1"/>
          <w:iCs w:val="1"/>
        </w:rPr>
        <w:t xml:space="preserve">Abenteuer. Lob der Unverfügbarkeit</w:t>
      </w:r>
      <w:r>
        <w:rPr/>
        <w:t xml:space="preserve">. Wien: Zsolnay.</w:t>
      </w:r>
    </w:p>
    <w:p>
      <w:pPr>
        <w:spacing w:after="240" w:line="240" w:lineRule="atLeast"/>
      </w:pPr>
      <w:r>
        <w:rPr/>
        <w:t xml:space="preserve">Groebner, V. (2024). Alles, immer, von anderen. In Stiftung für Kunst, Kultur und Geschichte &amp; Mirjam Fischer (Hrsg.), </w:t>
      </w:r>
      <w:r>
        <w:rPr>
          <w:i w:val="1"/>
          <w:iCs w:val="1"/>
        </w:rPr>
        <w:t xml:space="preserve">Bruno Stefanini. Tagebücher für 1937 und 1938</w:t>
      </w:r>
      <w:r>
        <w:rPr/>
        <w:t xml:space="preserve"> (S. 92–99). Winterthur.</w:t>
      </w:r>
    </w:p>
    <w:p>
      <w:pPr>
        <w:spacing w:after="240" w:line="240" w:lineRule="atLeast"/>
      </w:pPr>
      <w:r>
        <w:rPr/>
        <w:t xml:space="preserve">Groebner, V. (2024). Das Schloss. Machtsymbol und Projektionsfläche. In Schallaburg Kulturbetriebsges.m.b.H (Hrsg.), </w:t>
      </w:r>
      <w:r>
        <w:rPr>
          <w:i w:val="1"/>
          <w:iCs w:val="1"/>
        </w:rPr>
        <w:t xml:space="preserve">Ausstellungskatalog Renaissance. Einst, jetzt &amp; hier</w:t>
      </w:r>
      <w:r>
        <w:rPr/>
        <w:t xml:space="preserve"> (S. 18–21). Schallaburg: Schallaburg.</w:t>
      </w:r>
    </w:p>
    <w:p>
      <w:pPr>
        <w:spacing w:after="240" w:line="240" w:lineRule="atLeast"/>
      </w:pPr>
      <w:r>
        <w:rPr/>
        <w:t xml:space="preserve">Groebner, V. (2024). Superkörper androgyn: Der multmediale Körper Christi im Mittelalter. In Ausstellungskatalog Landesmuseum Zürich (Hrsg.), </w:t>
      </w:r>
      <w:r>
        <w:rPr>
          <w:i w:val="1"/>
          <w:iCs w:val="1"/>
        </w:rPr>
        <w:t xml:space="preserve">Begehrt. Umsorgt. Gemartert. Körper im Mittelalter</w:t>
      </w:r>
      <w:r>
        <w:rPr/>
        <w:t xml:space="preserve"> (S. 18–25). Zürich: Scheidegger &amp; Spiess.</w:t>
      </w:r>
    </w:p>
    <w:p>
      <w:pPr>
        <w:spacing w:after="240" w:line="240" w:lineRule="atLeast"/>
      </w:pPr>
      <w:r>
        <w:rPr/>
        <w:t xml:space="preserve">Groebner, V. (2024). Welche Erinnerungen bleiben? In Schallaburg Kulturbetriebsges.m.b.H (Hrsg.), </w:t>
      </w:r>
      <w:r>
        <w:rPr>
          <w:i w:val="1"/>
          <w:iCs w:val="1"/>
        </w:rPr>
        <w:t xml:space="preserve">Ausstellungskatalog Renaissance. Einst, jetzt &amp; hier</w:t>
      </w:r>
      <w:r>
        <w:rPr/>
        <w:t xml:space="preserve"> (S. 54–59). Schallaburg: Schallaburg.</w:t>
      </w:r>
    </w:p>
    <w:p>
      <w:pPr>
        <w:spacing w:after="240" w:line="240" w:lineRule="atLeast"/>
      </w:pPr>
      <w:r>
        <w:rPr/>
        <w:t xml:space="preserve">Groebner, V. (2024). Überall hässliche Touristen. Über Distanzierungsbedürfnis. In Imorde, Joseph, Multhammer, Michael &amp; Velten, Rudolf (Hrsg.), </w:t>
      </w:r>
      <w:r>
        <w:rPr>
          <w:i w:val="1"/>
          <w:iCs w:val="1"/>
        </w:rPr>
        <w:t xml:space="preserve">Das Populäre der Anderen. Vulgarität am Ausgang der Vormoderne</w:t>
      </w:r>
      <w:r>
        <w:rPr/>
        <w:t xml:space="preserve"> (S. 259–269). München: Fink/Brill.</w:t>
      </w:r>
    </w:p>
    <w:p>
      <w:pPr>
        <w:spacing w:after="240" w:line="240" w:lineRule="atLeast"/>
      </w:pPr>
      <w:r>
        <w:rPr/>
        <w:t xml:space="preserve">Groebner, V. (2021). Europas Grenzen? Über Seife, Apfelstrudel, Cafés, Zigaretten und historische Ressourcen. In Hohmann, Michael Hohmann &amp; Monnet Pierre (Hrsg.), </w:t>
      </w:r>
      <w:r>
        <w:rPr>
          <w:i w:val="1"/>
          <w:iCs w:val="1"/>
        </w:rPr>
        <w:t xml:space="preserve">Café Europa. Wallstein</w:t>
      </w:r>
      <w:r>
        <w:rPr/>
        <w:t xml:space="preserve"> (S. 111–122). Göttingen.</w:t>
      </w:r>
    </w:p>
    <w:p>
      <w:pPr>
        <w:spacing w:after="240" w:line="240" w:lineRule="atLeast"/>
      </w:pPr>
      <w:r>
        <w:rPr/>
        <w:t xml:space="preserve">Groebner, V. (2020). Das Schwierige, das Leichte, das Gefundenwerden. In von Lovenberg, Felicitas (Hrsg.), </w:t>
      </w:r>
      <w:r>
        <w:rPr>
          <w:i w:val="1"/>
          <w:iCs w:val="1"/>
        </w:rPr>
        <w:t xml:space="preserve">Lob der guten Buchhandlung</w:t>
      </w:r>
      <w:r>
        <w:rPr/>
        <w:t xml:space="preserve"> (S. 91–95). Frankfurt am Main: Fischer Verlag.</w:t>
      </w:r>
    </w:p>
    <w:p>
      <w:pPr>
        <w:spacing w:after="240" w:line="240" w:lineRule="atLeast"/>
      </w:pPr>
      <w:r>
        <w:rPr/>
        <w:t xml:space="preserve">Groebner, V. (2017). Sicher nicht Ich: Fotos, Masken, Häute. In Florian Ebner und Christin Müller (Hrsg.), </w:t>
      </w:r>
      <w:r>
        <w:rPr>
          <w:i w:val="1"/>
          <w:iCs w:val="1"/>
        </w:rPr>
        <w:t xml:space="preserve">Farewell Photography. Biennale für aktuelle Fotografie, Walter König</w:t>
      </w:r>
      <w:r>
        <w:rPr/>
        <w:t xml:space="preserve"> (S. 138–139). Köln.</w:t>
      </w:r>
    </w:p>
    <w:p>
      <w:pPr>
        <w:spacing w:after="240" w:line="240" w:lineRule="atLeast"/>
      </w:pPr>
      <w:r>
        <w:rPr/>
        <w:t xml:space="preserve">Groebner, V. (2017). Was kostet die Heimat? In: Heimat. In </w:t>
      </w:r>
      <w:r>
        <w:rPr>
          <w:i w:val="1"/>
          <w:iCs w:val="1"/>
        </w:rPr>
        <w:t xml:space="preserve">Ausstellungskatalog Stapferhaus</w:t>
      </w:r>
      <w:r>
        <w:rPr/>
        <w:t xml:space="preserve"> (S. 114–125). Lenzburg.</w:t>
      </w:r>
    </w:p>
    <w:p>
      <w:pPr>
        <w:spacing w:after="240" w:line="240" w:lineRule="atLeast"/>
      </w:pPr>
      <w:r>
        <w:rPr/>
        <w:t xml:space="preserve">Groebner, V. (2017). Werbegesicht: Ich bin Du. In Sigrid Weigel (Hrsg.), </w:t>
      </w:r>
      <w:r>
        <w:rPr>
          <w:i w:val="1"/>
          <w:iCs w:val="1"/>
        </w:rPr>
        <w:t xml:space="preserve">Das Gesicht. Eine Spurensuche. Begleitbuch zur Ausstellung im Deutschen Hygienemuseum Wallstein</w:t>
      </w:r>
      <w:r>
        <w:rPr/>
        <w:t xml:space="preserve"> (S. 178–183). Göttingen.</w:t>
      </w:r>
    </w:p>
    <w:p>
      <w:pPr>
        <w:spacing w:after="240" w:line="240" w:lineRule="atLeast"/>
      </w:pPr>
      <w:r>
        <w:rPr/>
        <w:t xml:space="preserve">Groebner, V. (2016). Helden im Sonderangebot. Söldner und Söldnerbilder vom 16. bis ins 21. Jahrhundert. In Susan Marti u.a. (Hrsg.), </w:t>
      </w:r>
      <w:r>
        <w:rPr>
          <w:i w:val="1"/>
          <w:iCs w:val="1"/>
        </w:rPr>
        <w:t xml:space="preserve">Niklaus Manuel in seiner Zeit. Ausstellungskatalog Historisches Museum Bern</w:t>
      </w:r>
      <w:r>
        <w:rPr/>
        <w:t xml:space="preserve"> (S. 26–38). Zürich.</w:t>
      </w:r>
    </w:p>
    <w:p>
      <w:pPr>
        <w:spacing w:after="240" w:line="240" w:lineRule="atLeast"/>
      </w:pPr>
      <w:r>
        <w:rPr/>
        <w:t xml:space="preserve">Groebner, V. (2014). Nègre im Negativ. In Michael Hagner, Bernd Stiegler &amp; Felix Thürlemann (Hrsg.), </w:t>
      </w:r>
      <w:r>
        <w:rPr>
          <w:i w:val="1"/>
          <w:iCs w:val="1"/>
        </w:rPr>
        <w:t xml:space="preserve">Selbstporträt im Hexenspiegel</w:t>
      </w:r>
      <w:r>
        <w:rPr/>
        <w:t xml:space="preserve"> (S. 79–89). München.</w:t>
      </w:r>
    </w:p>
    <w:p>
      <w:pPr>
        <w:spacing w:after="240" w:line="240" w:lineRule="atLeast"/>
      </w:pPr>
      <w:r>
        <w:rPr/>
        <w:t xml:space="preserve">Groebner, V. (2014). Pässe und Passmagie. In </w:t>
      </w:r>
      <w:r>
        <w:rPr>
          <w:i w:val="1"/>
          <w:iCs w:val="1"/>
        </w:rPr>
        <w:t xml:space="preserve">Das Neue Deutschland: Katalog zur Ausstellung im Hygienemuseum Dresden</w:t>
      </w:r>
      <w:r>
        <w:rPr/>
        <w:t xml:space="preserve"> (S. 231–234).</w:t>
      </w:r>
    </w:p>
    <w:p>
      <w:pPr>
        <w:spacing w:after="240" w:line="240" w:lineRule="atLeast"/>
      </w:pPr>
      <w:r>
        <w:rPr/>
        <w:t xml:space="preserve">Groebner, V. (2012). A Feeling for Images: Medieval Personae in Contemporary Photojournalism. In Maria Pia di Bea &amp; James Elkins (Hrsg.), </w:t>
      </w:r>
      <w:r>
        <w:rPr>
          <w:i w:val="1"/>
          <w:iCs w:val="1"/>
        </w:rPr>
        <w:t xml:space="preserve">Representations of Pain in Art and Visual Culture</w:t>
      </w:r>
      <w:r>
        <w:rPr/>
        <w:t xml:space="preserve"> (S. 190–224). London: Routledge.</w:t>
      </w:r>
    </w:p>
    <w:p>
      <w:pPr>
        <w:spacing w:after="240" w:line="240" w:lineRule="atLeast"/>
      </w:pPr>
      <w:r>
        <w:rPr/>
        <w:t xml:space="preserve">Groebner, V. (2012). Die Aussicht von gestern: Tourismus, Alltag und das Unsichtbare. In Daniel Gaberell (Hrsg.), </w:t>
      </w:r>
      <w:r>
        <w:rPr>
          <w:i w:val="1"/>
          <w:iCs w:val="1"/>
        </w:rPr>
        <w:t xml:space="preserve">Mein Luzern</w:t>
      </w:r>
      <w:r>
        <w:rPr/>
        <w:t xml:space="preserve"> (S. 39–52). Bern.</w:t>
      </w:r>
    </w:p>
    <w:p>
      <w:pPr>
        <w:spacing w:after="240" w:line="240" w:lineRule="atLeast"/>
      </w:pPr>
      <w:r>
        <w:rPr/>
        <w:t xml:space="preserve">Anderegg, C., &amp; Groebner, V. (2012). Es kommen sehen: Johan Grimonprez’ Video Dial H-I-S-T-O-R-Y. In Peter Geimer &amp; Michael Hagner (Hrsg.), </w:t>
      </w:r>
      <w:r>
        <w:rPr>
          <w:i w:val="1"/>
          <w:iCs w:val="1"/>
        </w:rPr>
        <w:t xml:space="preserve">Nachleben und Rekonstruktion: Vergangenheit im Bild</w:t>
      </w:r>
      <w:r>
        <w:rPr/>
        <w:t xml:space="preserve"> (S. 130–154). München: Fink.</w:t>
      </w:r>
    </w:p>
    <w:p>
      <w:pPr>
        <w:spacing w:after="240" w:line="240" w:lineRule="atLeast"/>
      </w:pPr>
      <w:r>
        <w:rPr/>
        <w:t xml:space="preserve">Groebner, V. (2012). Was macht der Tourismus mit der Vergangenheit? In Wolfgang Scheppe &amp; Thomas Steinfeld (Hrsg.), </w:t>
      </w:r>
      <w:r>
        <w:rPr>
          <w:i w:val="1"/>
          <w:iCs w:val="1"/>
        </w:rPr>
        <w:t xml:space="preserve">Die Zukunft des Reisens</w:t>
      </w:r>
      <w:r>
        <w:rPr/>
        <w:t xml:space="preserve"> (S. 98–118). Frankfurt/Main: S. Fischer.</w:t>
      </w:r>
    </w:p>
    <w:p>
      <w:pPr>
        <w:spacing w:after="240" w:line="240" w:lineRule="atLeast"/>
      </w:pPr>
      <w:r>
        <w:rPr/>
        <w:t xml:space="preserve">Groebner, V. (2011). Arme Ritter: Moderne Mittelalterbegeisterungen und die Selbstbilder der Mediävistik. In Thomas Martin Buck &amp; Nicola Brauch (Hrsg.), </w:t>
      </w:r>
      <w:r>
        <w:rPr>
          <w:i w:val="1"/>
          <w:iCs w:val="1"/>
        </w:rPr>
        <w:t xml:space="preserve">Das Mittelalter zwischen Vorstellung und Wirklichkeit</w:t>
      </w:r>
      <w:r>
        <w:rPr/>
        <w:t xml:space="preserve"> (S. 335–345). Münster/New York/Berlin.</w:t>
      </w:r>
    </w:p>
    <w:p>
      <w:pPr>
        <w:spacing w:after="240" w:line="240" w:lineRule="atLeast"/>
      </w:pPr>
      <w:r>
        <w:rPr/>
        <w:t xml:space="preserve">Groebner, V. (2011). Wissenschaft ist keine nette Angelegenheit. In Alexander Kraus &amp; Birte Kohtz (Hrsg.), </w:t>
      </w:r>
      <w:r>
        <w:rPr>
          <w:i w:val="1"/>
          <w:iCs w:val="1"/>
        </w:rPr>
        <w:t xml:space="preserve">Geschichte als Passion: Über das Entdecken und Erzählen von Vergangenheit. Zehn Gespräche</w:t>
      </w:r>
      <w:r>
        <w:rPr/>
        <w:t xml:space="preserve"> (S. 203–236). Frankfurt/M.</w:t>
      </w:r>
    </w:p>
    <w:p>
      <w:pPr>
        <w:spacing w:after="240" w:line="240" w:lineRule="atLeast"/>
      </w:pPr>
      <w:r>
        <w:rPr/>
        <w:t xml:space="preserve">Groebner, V. (2010). Der Körper des Toten als Rohstoff: Schreckensgeschichten und ihre historischen Vorbilder. In Brigitte Tag &amp; Dominik Gross (Hrsg.), </w:t>
      </w:r>
      <w:r>
        <w:rPr>
          <w:i w:val="1"/>
          <w:iCs w:val="1"/>
        </w:rPr>
        <w:t xml:space="preserve">Der Umgang mit der Leiche: Sektion und toter Körper in internationaler und interdisziplinärer Perspektive</w:t>
      </w:r>
      <w:r>
        <w:rPr/>
        <w:t xml:space="preserve"> (S. 355–370). Frankfurt/M.</w:t>
      </w:r>
    </w:p>
    <w:p>
      <w:pPr>
        <w:spacing w:after="240" w:line="240" w:lineRule="atLeast"/>
      </w:pPr>
      <w:r>
        <w:rPr/>
        <w:t xml:space="preserve">Groebner, V., &amp; Hitz, B. (2010). Die Schweizer Reisläufer 1500 - 1700 als Mythos mit Lücken: Geschichtsinzenierungen und Kriegsökonomie im Alltag. In Hans Rudolf Jaun &amp; Pierre Streit (Hrsg.), </w:t>
      </w:r>
      <w:r>
        <w:rPr>
          <w:i w:val="1"/>
          <w:iCs w:val="1"/>
        </w:rPr>
        <w:t xml:space="preserve">Schweizer Solddienst – neue Arbeiten, neue Aspekte</w:t>
      </w:r>
      <w:r>
        <w:rPr/>
        <w:t xml:space="preserve"> (S. 31–40). Birmensdorf.</w:t>
      </w:r>
    </w:p>
    <w:p>
      <w:pPr>
        <w:spacing w:after="240" w:line="240" w:lineRule="atLeast"/>
      </w:pPr>
      <w:r>
        <w:rPr/>
        <w:t xml:space="preserve">Groebner, V. (2010). Welches Thema? Was für eine Art Text? Vorschläge zum wissen-schaftlichen Schreiben 2009 ff. In Peter Haber &amp; Martin Gasteiner (Hrsg.), </w:t>
      </w:r>
      <w:r>
        <w:rPr>
          <w:i w:val="1"/>
          <w:iCs w:val="1"/>
        </w:rPr>
        <w:t xml:space="preserve">Digitale Arbeitstechniken</w:t>
      </w:r>
      <w:r>
        <w:rPr/>
        <w:t xml:space="preserve"> (S. 5–13). Köln/Wien: Böhlau.</w:t>
      </w:r>
    </w:p>
    <w:p>
      <w:pPr>
        <w:spacing w:after="240" w:line="240" w:lineRule="atLeast"/>
      </w:pPr>
      <w:r>
        <w:rPr/>
        <w:t xml:space="preserve">Groebner, V. (2009). The Carnal Knowing of A Coloured Body: Sex and Skin Colour in the Middle Ages. In Miriam Eliav-Feldon, Benjamin Isaac &amp; Joseph Ziegler (Hrsg.), </w:t>
      </w:r>
      <w:r>
        <w:rPr>
          <w:i w:val="1"/>
          <w:iCs w:val="1"/>
        </w:rPr>
        <w:t xml:space="preserve">The Origins of Racism in the West</w:t>
      </w:r>
      <w:r>
        <w:rPr/>
        <w:t xml:space="preserve"> (S. 217–231). Cambridge University Press.</w:t>
      </w:r>
    </w:p>
    <w:p>
      <w:pPr>
        <w:spacing w:after="240" w:line="240" w:lineRule="atLeast"/>
      </w:pPr>
      <w:r>
        <w:rPr/>
        <w:t xml:space="preserve">Groebner, V. (2009). Theoriegesättigt: Ankommen in Bielefeld 1989. In Stephan Schlaak (Hrsg.), </w:t>
      </w:r>
      <w:r>
        <w:rPr>
          <w:i w:val="1"/>
          <w:iCs w:val="1"/>
        </w:rPr>
        <w:t xml:space="preserve">Was war Bielefeld?</w:t>
      </w:r>
      <w:r>
        <w:rPr/>
        <w:t xml:space="preserve"> (S. 179–189). Marbacher Hefte.</w:t>
      </w:r>
    </w:p>
    <w:p>
      <w:pPr>
        <w:spacing w:after="240" w:line="240" w:lineRule="atLeast"/>
      </w:pPr>
      <w:r>
        <w:rPr/>
        <w:t xml:space="preserve">Groebner, V. (2008). Der menschliche Körper als Ware im Europa der Frühen Neuzeit. In Andreas Exenberger &amp; Josef Nussbaumer (Hrsg.), </w:t>
      </w:r>
      <w:r>
        <w:rPr>
          <w:i w:val="1"/>
          <w:iCs w:val="1"/>
        </w:rPr>
        <w:t xml:space="preserve">Von Körpermärkten</w:t>
      </w:r>
      <w:r>
        <w:rPr/>
        <w:t xml:space="preserve"> (S. 27–38). Innsbruck: Innsbruck university press.</w:t>
      </w:r>
    </w:p>
    <w:p>
      <w:pPr>
        <w:spacing w:after="240" w:line="240" w:lineRule="atLeast"/>
      </w:pPr>
      <w:r>
        <w:rPr/>
        <w:t xml:space="preserve">Groebner, V. (2007). Erasmus´ Bote: Wer braucht wieviel Individualität im 16. Jahrhundert? In Kaspar von Greyerz (Hrsg.), </w:t>
      </w:r>
      <w:r>
        <w:rPr>
          <w:i w:val="1"/>
          <w:iCs w:val="1"/>
        </w:rPr>
        <w:t xml:space="preserve">Selbstzeugnisse in der Frühen Neuzeit</w:t>
      </w:r>
      <w:r>
        <w:rPr/>
        <w:t xml:space="preserve"> (Bd. 68, S. 157–171). München: Oldenbourg.</w:t>
      </w:r>
    </w:p>
    <w:p>
      <w:pPr>
        <w:spacing w:after="240" w:line="240" w:lineRule="atLeast"/>
      </w:pPr>
      <w:r>
        <w:rPr/>
        <w:t xml:space="preserve">Groebner, V. (2006). Dr. phil. Charisma. In David Gugerli, Michael Hagner &amp; Barbara Orland (Hrsg.), </w:t>
      </w:r>
      <w:r>
        <w:rPr>
          <w:i w:val="1"/>
          <w:iCs w:val="1"/>
        </w:rPr>
        <w:t xml:space="preserve">Zürcher Jahrbuch für Wissensgeschichte</w:t>
      </w:r>
      <w:r>
        <w:rPr/>
        <w:t xml:space="preserve"> (Bd. 2, S. 191–200). Zürich.</w:t>
      </w:r>
    </w:p>
    <w:p>
      <w:pPr>
        <w:spacing w:after="240" w:line="240" w:lineRule="atLeast"/>
      </w:pPr>
      <w:r>
        <w:rPr/>
        <w:t xml:space="preserve">Groebner, V. (2006). Eine unerledigte Arbeit. In </w:t>
      </w:r>
      <w:r>
        <w:rPr>
          <w:i w:val="1"/>
          <w:iCs w:val="1"/>
        </w:rPr>
        <w:t xml:space="preserve">Fischli Weiss: Fragen und Blumen: Eine Retrospektive</w:t>
      </w:r>
      <w:r>
        <w:rPr/>
        <w:t xml:space="preserve"> (S. 301–310). Katalog Kunsthaus Zürich.</w:t>
      </w:r>
    </w:p>
    <w:p>
      <w:pPr>
        <w:spacing w:after="240" w:line="240" w:lineRule="atLeast"/>
      </w:pPr>
      <w:r>
        <w:rPr/>
        <w:t xml:space="preserve">Groebner, V. (2005). Historische Kostüme. In David Gugerli, Michael Hagner &amp; Barbara Orland (Hrsg.), </w:t>
      </w:r>
      <w:r>
        <w:rPr>
          <w:i w:val="1"/>
          <w:iCs w:val="1"/>
        </w:rPr>
        <w:t xml:space="preserve">Zürcher Jahrbuch für Wissensgeschichte</w:t>
      </w:r>
      <w:r>
        <w:rPr/>
        <w:t xml:space="preserve"> (Bd. 1, S. 111–123). Zürich.</w:t>
      </w:r>
    </w:p>
    <w:p>
      <w:pPr>
        <w:spacing w:after="240" w:line="240" w:lineRule="atLeast"/>
      </w:pPr>
      <w:r>
        <w:rPr/>
        <w:t xml:space="preserve">Groebner, V. (2004). Identität womit? Die Erzählung vom dicken Holzschnitzer und die Genese des Personalausweises. In Peter von Moos (Hrsg.), </w:t>
      </w:r>
      <w:r>
        <w:rPr>
          <w:i w:val="1"/>
          <w:iCs w:val="1"/>
        </w:rPr>
        <w:t xml:space="preserve">Unverwechselbarkeit: Persönliche Identität und Identifikation in der vormodernen Gesellschaft</w:t>
      </w:r>
      <w:r>
        <w:rPr/>
        <w:t xml:space="preserve"> (S. 85–97). Köln / Weimar / Wien: Böhlau Verlag.</w:t>
      </w:r>
    </w:p>
    <w:p>
      <w:pPr>
        <w:spacing w:after="240" w:line="240" w:lineRule="atLeast"/>
      </w:pPr>
      <w:r>
        <w:rPr/>
        <w:t xml:space="preserve">Groebner, V. (2004). Maculae: Hautzeichen als Identifikationsmale zwischen dem 14. und dem 16. Jahrhundert. In Agostino Paravicini Bagliani (Hrsg.), </w:t>
      </w:r>
      <w:r>
        <w:rPr>
          <w:i w:val="1"/>
          <w:iCs w:val="1"/>
        </w:rPr>
        <w:t xml:space="preserve">La pelle humana / The human skin</w:t>
      </w:r>
      <w:r>
        <w:rPr/>
        <w:t xml:space="preserve"> (Bd. 8). Brepols: Turnhout.</w:t>
      </w:r>
    </w:p>
    <w:p>
      <w:pPr>
        <w:spacing w:after="240" w:line="240" w:lineRule="atLeast"/>
      </w:pPr>
      <w:r>
        <w:rPr/>
        <w:t xml:space="preserve">Groebner, V. (2004). Mobile Werte, informelle Ökonomie: Zur "Kultur der Armut" in der Stadt des späten Mittelalters und der frühen Neuzeit. In Michael Borgolte &amp; Otto Gerhard Oexle (Hrsg.), </w:t>
      </w:r>
      <w:r>
        <w:rPr>
          <w:i w:val="1"/>
          <w:iCs w:val="1"/>
        </w:rPr>
        <w:t xml:space="preserve">Armut im Mittelalter</w:t>
      </w:r>
      <w:r>
        <w:rPr/>
        <w:t xml:space="preserve"> (S. 168–180). Stuttgart.</w:t>
      </w:r>
    </w:p>
    <w:p>
      <w:pPr>
        <w:spacing w:after="240" w:line="240" w:lineRule="atLeast"/>
      </w:pPr>
      <w:r>
        <w:rPr/>
        <w:t xml:space="preserve">Groebner, V. (2003). Complexio/complexion: Categorizing Individual Natures 1250-1600. In Lorraine Daston &amp; Fernando Vidal (Hrsg.), </w:t>
      </w:r>
      <w:r>
        <w:rPr>
          <w:i w:val="1"/>
          <w:iCs w:val="1"/>
        </w:rPr>
        <w:t xml:space="preserve">The Moral Authority of Nature</w:t>
      </w:r>
      <w:r>
        <w:rPr/>
        <w:t xml:space="preserve">. Chicago University Press.</w:t>
      </w:r>
    </w:p>
    <w:p>
      <w:pPr>
        <w:spacing w:after="240" w:line="240" w:lineRule="atLeast"/>
      </w:pPr>
      <w:r>
        <w:rPr/>
        <w:t xml:space="preserve">Groebner, V. (2003). Welche Themen, wessen Frühe Neuzeit? Kulturbegriff und Gegenwartsbezug. In Helmut Puff &amp; Christopher Wild (Hrsg.), </w:t>
      </w:r>
      <w:r>
        <w:rPr>
          <w:i w:val="1"/>
          <w:iCs w:val="1"/>
        </w:rPr>
        <w:t xml:space="preserve">Zwischen den Disziplinen: Perspektiven der Frühneuzeitforschung</w:t>
      </w:r>
      <w:r>
        <w:rPr/>
        <w:t xml:space="preserve"> (S. 21–36). Göttingen: Wallstein.</w:t>
      </w:r>
    </w:p>
    <w:p>
      <w:pPr>
        <w:spacing w:after="240" w:line="240" w:lineRule="atLeast"/>
      </w:pPr>
      <w:r>
        <w:rPr/>
        <w:t xml:space="preserve">Groebner, V. (2002). Der Schein der Person: Bescheinigung und Evidenz. In Hans Belting, Dietmar Kamper &amp; Martin Schulz (Hrsg.), </w:t>
      </w:r>
      <w:r>
        <w:rPr>
          <w:i w:val="1"/>
          <w:iCs w:val="1"/>
        </w:rPr>
        <w:t xml:space="preserve">Quel corps? Eine Frage der Repräsentation</w:t>
      </w:r>
      <w:r>
        <w:rPr/>
        <w:t xml:space="preserve"> (S. 309–323). München: Fink.</w:t>
      </w:r>
    </w:p>
    <w:p>
      <w:pPr>
        <w:spacing w:after="240" w:line="240" w:lineRule="atLeast"/>
      </w:pPr>
      <w:r>
        <w:rPr/>
        <w:t xml:space="preserve">Groebner, V. (2001). Describing the Person, Reading the Signs in Late Medieval and Renaissance Europe: Identity Papers, Vested Figures, and the Limits of Identification 1400-1600. In Jane Caplan &amp; John Torpey (Hrsg.), </w:t>
      </w:r>
      <w:r>
        <w:rPr>
          <w:i w:val="1"/>
          <w:iCs w:val="1"/>
        </w:rPr>
        <w:t xml:space="preserve">Documenting Individual Identity: The Development of State Practices in the Modern World</w:t>
      </w:r>
      <w:r>
        <w:rPr/>
        <w:t xml:space="preserve"> (S. 15–27). Princeton University Press.</w:t>
      </w:r>
    </w:p>
    <w:p>
      <w:pPr>
        <w:spacing w:after="240" w:line="240" w:lineRule="atLeast"/>
      </w:pPr>
      <w:r>
        <w:rPr/>
        <w:t xml:space="preserve">Groebner, V. (2001). Regel, Ausnahme, nachträgliche Benennung: Über Geschenke, Fehltritte und ihre Berichterstatter im 15. Jahrhundert. In Peter von Moos (Hrsg.), </w:t>
      </w:r>
      <w:r>
        <w:rPr>
          <w:i w:val="1"/>
          <w:iCs w:val="1"/>
        </w:rPr>
        <w:t xml:space="preserve">Der Fehltritt: Vergehen und Versehen in der Vormoderne</w:t>
      </w:r>
      <w:r>
        <w:rPr/>
        <w:t xml:space="preserve"> (S. 139–150). Köln / Wien / Weimar.</w:t>
      </w:r>
    </w:p>
    <w:p>
      <w:pPr>
        <w:spacing w:after="240" w:line="240" w:lineRule="atLeast"/>
      </w:pPr>
      <w:r>
        <w:rPr/>
        <w:t xml:space="preserve">Groebner, V. (2001). Schätze schätzen, Schätze schenken: Über Kostbarkeiten, Wahrnehmungen und Werte im spätmittelalterlichen Basel. In </w:t>
      </w:r>
      <w:r>
        <w:rPr>
          <w:i w:val="1"/>
          <w:iCs w:val="1"/>
        </w:rPr>
        <w:t xml:space="preserve">Der Basler Münsterschatz, Ausstellungskatalog des Historischen Museums Basel</w:t>
      </w:r>
      <w:r>
        <w:rPr/>
        <w:t xml:space="preserve"> (S. 242–250). Basel.</w:t>
      </w:r>
    </w:p>
    <w:p>
      <w:pPr>
        <w:spacing w:after="240" w:line="240" w:lineRule="atLeast"/>
      </w:pPr>
      <w:r>
        <w:rPr/>
        <w:t xml:space="preserve">Groebner, V. (2000). Flüssige Gaben und die Hände der Stadt: Städtische Geschenke, städtische Korruption und politische Sprache am Vorabend der Reformation. In Klaus Schreiner &amp; Gabriela Signori (Hrsg.), </w:t>
      </w:r>
      <w:r>
        <w:rPr>
          <w:i w:val="1"/>
          <w:iCs w:val="1"/>
        </w:rPr>
        <w:t xml:space="preserve">Texte, Rituale, Bilder: Kommunikationsmedien in Stadt- und Landgesellschaften des späten Mittelalters</w:t>
      </w:r>
      <w:r>
        <w:rPr/>
        <w:t xml:space="preserve"> (Bd. 24, S. 17–34). Berlin.</w:t>
      </w:r>
    </w:p>
    <w:p>
      <w:pPr>
        <w:spacing w:after="240" w:line="240" w:lineRule="atLeast"/>
      </w:pPr>
      <w:r>
        <w:rPr/>
        <w:t xml:space="preserve">Groebner, V. (1999). Trügerische Zeichen: Practick und das politische Unsichtbare am Beginn der Neuzeit. In Heinz-Dieter Kittsteiner (Hrsg.), </w:t>
      </w:r>
      <w:r>
        <w:rPr>
          <w:i w:val="1"/>
          <w:iCs w:val="1"/>
        </w:rPr>
        <w:t xml:space="preserve">Geschichtszeichen</w:t>
      </w:r>
      <w:r>
        <w:rPr/>
        <w:t xml:space="preserve"> (S. 49–66). Köln / Wien / Weimar.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Groebner, Valentin, &amp; Steinfeld, Thomas (Hrsg.). (2018). </w:t>
      </w:r>
      <w:r>
        <w:rPr>
          <w:i w:val="1"/>
          <w:iCs w:val="1"/>
        </w:rPr>
        <w:t xml:space="preserve">Kann man das wegwerfen? Fotografie, Gedächtnis, Ökonomie.</w:t>
      </w:r>
      <w:r>
        <w:rPr/>
        <w:t xml:space="preserve"> (Fotogeschichte. Beiträge für Geschichte und Ästhetik der Fotografie) (Bd. 149).</w:t>
      </w:r>
    </w:p>
    <w:p>
      <w:pPr>
        <w:spacing w:after="240" w:line="240" w:lineRule="atLeast"/>
      </w:pPr>
      <w:r>
        <w:rPr/>
        <w:t xml:space="preserve">Groebner, Valentin, David, Thomas, Schaufelbuehl, Janick Marina, &amp; Studer, Brigitte (Hrsg.). (2010). </w:t>
      </w:r>
      <w:r>
        <w:rPr>
          <w:i w:val="1"/>
          <w:iCs w:val="1"/>
        </w:rPr>
        <w:t xml:space="preserve">Die Produktion von Ungleichheiten / La production des inégalités</w:t>
      </w:r>
      <w:r>
        <w:rPr/>
        <w:t xml:space="preserve">. Zürich: Chronos.</w:t>
      </w:r>
    </w:p>
    <w:p>
      <w:pPr>
        <w:spacing w:after="240" w:line="240" w:lineRule="atLeast"/>
      </w:pPr>
      <w:r>
        <w:rPr/>
        <w:t xml:space="preserve">Groebner, Valentin, &amp; Druffner, Frank (Hrsg.). (2009). </w:t>
      </w:r>
      <w:r>
        <w:rPr>
          <w:i w:val="1"/>
          <w:iCs w:val="1"/>
        </w:rPr>
        <w:t xml:space="preserve">Unterwerft Euch!</w:t>
      </w:r>
      <w:r>
        <w:rPr/>
        <w:t xml:space="preserve"> (Zeitschrift für Ideengeschichte) (Bd. 3.2). München: C.H. Beck.</w:t>
      </w:r>
    </w:p>
    <w:p>
      <w:pPr>
        <w:spacing w:after="240" w:line="240" w:lineRule="atLeast"/>
      </w:pPr>
      <w:r>
        <w:rPr/>
        <w:t xml:space="preserve">Groebner, Valentin, Guex, Sebatien, &amp; Tanner, Jakob (Hrsg.). (2008). </w:t>
      </w:r>
      <w:r>
        <w:rPr>
          <w:i w:val="1"/>
          <w:iCs w:val="1"/>
        </w:rPr>
        <w:t xml:space="preserve">Kriegswirtschaft und Wirtschaftskriege / Economie de guerre et guerres économiques</w:t>
      </w:r>
      <w:r>
        <w:rPr/>
        <w:t xml:space="preserve">. Zürich: Chronos.</w:t>
      </w:r>
    </w:p>
    <w:p>
      <w:pPr>
        <w:spacing w:after="240" w:line="240" w:lineRule="atLeast"/>
      </w:pPr>
      <w:r>
        <w:rPr/>
        <w:t xml:space="preserve">Algazi, Gadi, Jussen, Bernhard, &amp; Groebner, Valentin (Hrsg.). (2003). </w:t>
      </w:r>
      <w:r>
        <w:rPr>
          <w:i w:val="1"/>
          <w:iCs w:val="1"/>
        </w:rPr>
        <w:t xml:space="preserve">Negotiating the Gift / Negocier le don</w:t>
      </w:r>
      <w:r>
        <w:rPr/>
        <w:t xml:space="preserve"> (Veröffentlichungen des Max-Planck-Instituts für Geschichte) (Bd. 188). Göttingen.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Abschlussarbeit</w:t>
      </w:r>
    </w:p>
    <w:p>
      <w:pPr>
        <w:spacing w:after="240" w:line="240" w:lineRule="atLeast"/>
      </w:pPr>
      <w:r>
        <w:rPr/>
        <w:t xml:space="preserve">Groebner, V. (6. März 2017). </w:t>
      </w:r>
      <w:r>
        <w:rPr>
          <w:i w:val="1"/>
          <w:iCs w:val="1"/>
        </w:rPr>
        <w:t xml:space="preserve">Gefährliche Geschenke: Korruption und politische Sprache am Oberrhein und in der Eidgenossenschaft am Beginn der Neuzeit</w:t>
      </w:r>
      <w:r>
        <w:rPr/>
        <w:t xml:space="preserve"> (Habilitation). Universitätsverlag Konstanz, Universität Basel, Schweiz.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Groebner, V. (2026). Im Eleganzpanzer. </w:t>
      </w:r>
      <w:r>
        <w:rPr>
          <w:i w:val="1"/>
          <w:iCs w:val="1"/>
        </w:rPr>
        <w:t xml:space="preserve">Merkur. Zeitschrift für europäisches Denken</w:t>
      </w:r>
      <w:r>
        <w:rPr/>
        <w:t xml:space="preserve">, (927), 69–77.</w:t>
      </w:r>
    </w:p>
    <w:p>
      <w:pPr>
        <w:spacing w:after="240" w:line="240" w:lineRule="atLeast"/>
      </w:pPr>
      <w:r>
        <w:rPr/>
        <w:t xml:space="preserve">Groebner, V. (18. Juli 2026). Abschied vom Buch, diesmal aber wirklich. </w:t>
      </w:r>
      <w:r>
        <w:rPr>
          <w:i w:val="1"/>
          <w:iCs w:val="1"/>
        </w:rPr>
        <w:t xml:space="preserve">Frankfurter Allgemeine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(6. Mai 2025). Verschachtelt. </w:t>
      </w:r>
      <w:r>
        <w:rPr>
          <w:i w:val="1"/>
          <w:iCs w:val="1"/>
        </w:rPr>
        <w:t xml:space="preserve">wespennest</w:t>
      </w:r>
      <w:r>
        <w:rPr/>
        <w:t xml:space="preserve">, (118), 89–94.</w:t>
      </w:r>
    </w:p>
    <w:p>
      <w:pPr>
        <w:spacing w:after="240" w:line="240" w:lineRule="atLeast"/>
      </w:pPr>
      <w:r>
        <w:rPr/>
        <w:t xml:space="preserve">Groebner, V. (27. Juni 2025). Wie Helden aus der Nähe aussehen. Drei Bücher zum Bauernkrieg vor 500 Jahren und die öffentliche Erinnerung an ihn. </w:t>
      </w:r>
      <w:r>
        <w:rPr>
          <w:i w:val="1"/>
          <w:iCs w:val="1"/>
        </w:rPr>
        <w:t xml:space="preserve">Frankfurter Allgemeine Zeitung</w:t>
      </w:r>
      <w:r>
        <w:rPr/>
        <w:t xml:space="preserve">, 10. Abgerufen von https://www.faz.net/aktuell/feuilleton/buecher/sachbuch/500-jahre-bauernkrieg-wie-heldenhaft-und-deutsch-waren-die-krieger-wirklich-110559654.html</w:t>
      </w:r>
    </w:p>
    <w:p>
      <w:pPr>
        <w:spacing w:after="240" w:line="240" w:lineRule="atLeast"/>
      </w:pPr>
      <w:r>
        <w:rPr/>
        <w:t xml:space="preserve">Groebner, V. (3. Mai 2025). Agenten des Imperiums: Rezension von Antonio Pigafetta: Bericht über die erste Reise rund um die Welt 1519-1522, übersetzt von Christian Jostmann. </w:t>
      </w:r>
      <w:r>
        <w:rPr>
          <w:i w:val="1"/>
          <w:iCs w:val="1"/>
        </w:rPr>
        <w:t xml:space="preserve">Frankfurter Allgemeine Zeitung</w:t>
      </w:r>
      <w:r>
        <w:rPr/>
        <w:t xml:space="preserve">, 12.</w:t>
      </w:r>
    </w:p>
    <w:p>
      <w:pPr>
        <w:spacing w:after="240" w:line="240" w:lineRule="atLeast"/>
      </w:pPr>
      <w:r>
        <w:rPr/>
        <w:t xml:space="preserve">Groebner, V. (2024). Alpen autokinetisch. </w:t>
      </w:r>
      <w:r>
        <w:rPr>
          <w:i w:val="1"/>
          <w:iCs w:val="1"/>
        </w:rPr>
        <w:t xml:space="preserve">Merkur</w:t>
      </w:r>
      <w:r>
        <w:rPr/>
        <w:t xml:space="preserve">, (907), 5–18.</w:t>
      </w:r>
    </w:p>
    <w:p>
      <w:pPr>
        <w:spacing w:after="240" w:line="240" w:lineRule="atLeast"/>
      </w:pPr>
      <w:r>
        <w:rPr/>
        <w:t xml:space="preserve">Groebner, V. (2024). Geister am Palmenstrand. </w:t>
      </w:r>
      <w:r>
        <w:rPr>
          <w:i w:val="1"/>
          <w:iCs w:val="1"/>
        </w:rPr>
        <w:t xml:space="preserve">Merkur</w:t>
      </w:r>
      <w:r>
        <w:rPr/>
        <w:t xml:space="preserve">, (901), 77–84.</w:t>
      </w:r>
    </w:p>
    <w:p>
      <w:pPr>
        <w:spacing w:after="240" w:line="240" w:lineRule="atLeast"/>
      </w:pPr>
      <w:r>
        <w:rPr/>
        <w:t xml:space="preserve">Groebner, V. (2024). Spätmoderne Nostalgie. </w:t>
      </w:r>
      <w:r>
        <w:rPr>
          <w:i w:val="1"/>
          <w:iCs w:val="1"/>
        </w:rPr>
        <w:t xml:space="preserve">Merkur</w:t>
      </w:r>
      <w:r>
        <w:rPr/>
        <w:t xml:space="preserve">, (898), 86–94.</w:t>
      </w:r>
    </w:p>
    <w:p>
      <w:pPr>
        <w:spacing w:after="240" w:line="240" w:lineRule="atLeast"/>
      </w:pPr>
      <w:r>
        <w:rPr/>
        <w:t xml:space="preserve">Groebner, V. (2024). Zum Dessert etwas Geschichte. </w:t>
      </w:r>
      <w:r>
        <w:rPr>
          <w:i w:val="1"/>
          <w:iCs w:val="1"/>
        </w:rPr>
        <w:t xml:space="preserve">Merum. Italien-Magazin für Wein, Olivenöl, Reisen und Speisen Jg. 31</w:t>
      </w:r>
      <w:r>
        <w:rPr/>
        <w:t xml:space="preserve">, (3), 50–51.</w:t>
      </w:r>
    </w:p>
    <w:p>
      <w:pPr>
        <w:spacing w:after="240" w:line="240" w:lineRule="atLeast"/>
      </w:pPr>
      <w:r>
        <w:rPr/>
        <w:t xml:space="preserve">Groebner, V. (26. Oktober 2024). Archive mussten brennen. Ein Jurist als Held der Revolution: Michael Gaismair, Anführer der Tiroler Bauernaufstände. </w:t>
      </w:r>
      <w:r>
        <w:rPr>
          <w:i w:val="1"/>
          <w:iCs w:val="1"/>
        </w:rPr>
        <w:t xml:space="preserve">Frankfurter Allgemeine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(6. Oktober 2024). Vier Fragen an Valentin Groebner. </w:t>
      </w:r>
      <w:r>
        <w:rPr>
          <w:i w:val="1"/>
          <w:iCs w:val="1"/>
        </w:rPr>
        <w:t xml:space="preserve">Frankfurter Allgemeine Sonntagszeitung</w:t>
      </w:r>
      <w:r>
        <w:rPr/>
        <w:t xml:space="preserve">, 38 ff.</w:t>
      </w:r>
    </w:p>
    <w:p>
      <w:pPr>
        <w:spacing w:after="240" w:line="240" w:lineRule="atLeast"/>
      </w:pPr>
      <w:r>
        <w:rPr/>
        <w:t xml:space="preserve">Groebner, V. (26. Juli 2024). Erfüllung in der Leere. </w:t>
      </w:r>
      <w:r>
        <w:rPr>
          <w:i w:val="1"/>
          <w:iCs w:val="1"/>
        </w:rPr>
        <w:t xml:space="preserve">Das Magazin, online-Ausgabe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(8. Januar 2024). Die Innen- und die Aussenwelt. Wie viel Last und wie viel Trost bedeutet Geschichte? Ein Sonntagnachmittag in Vilnius. </w:t>
      </w:r>
      <w:r>
        <w:rPr>
          <w:i w:val="1"/>
          <w:iCs w:val="1"/>
        </w:rPr>
        <w:t xml:space="preserve">Frankfurter Allgemeine Zeitung</w:t>
      </w:r>
      <w:r>
        <w:rPr/>
        <w:t xml:space="preserve">, 32. Abgerufen von https://www.faz.net/aktuell/reise/vilnius-ein-sonntagnachmittag-in-litauens-hauptstadt-18515600.html</w:t>
      </w:r>
    </w:p>
    <w:p>
      <w:pPr>
        <w:spacing w:after="240" w:line="240" w:lineRule="atLeast"/>
      </w:pPr>
      <w:r>
        <w:rPr/>
        <w:t xml:space="preserve">Groebner, V. (2022). Angstlust. Eine Ansteckung aus der Vergangenheit. </w:t>
      </w:r>
      <w:r>
        <w:rPr>
          <w:i w:val="1"/>
          <w:iCs w:val="1"/>
        </w:rPr>
        <w:t xml:space="preserve">Merkur</w:t>
      </w:r>
      <w:r>
        <w:rPr/>
        <w:t xml:space="preserve">, </w:t>
      </w:r>
      <w:r>
        <w:rPr>
          <w:i w:val="1"/>
          <w:iCs w:val="1"/>
        </w:rPr>
        <w:t xml:space="preserve">75</w:t>
      </w:r>
      <w:r>
        <w:rPr/>
        <w:t xml:space="preserve"> (887), 32–44.</w:t>
      </w:r>
    </w:p>
    <w:p>
      <w:pPr>
        <w:spacing w:after="240" w:line="240" w:lineRule="atLeast"/>
      </w:pPr>
      <w:r>
        <w:rPr/>
        <w:t xml:space="preserve">Groebner, V. (1. November 2022). Selbstviktimisierung. </w:t>
      </w:r>
      <w:r>
        <w:rPr>
          <w:i w:val="1"/>
          <w:iCs w:val="1"/>
        </w:rPr>
        <w:t xml:space="preserve">Merkur. Deutsche Zeitschrift für europäisches Denken</w:t>
      </w:r>
      <w:r>
        <w:rPr/>
        <w:t xml:space="preserve">, </w:t>
      </w:r>
      <w:r>
        <w:rPr>
          <w:i w:val="1"/>
          <w:iCs w:val="1"/>
        </w:rPr>
        <w:t xml:space="preserve">76</w:t>
      </w:r>
      <w:r>
        <w:rPr/>
        <w:t xml:space="preserve"> (882), 5–14.</w:t>
      </w:r>
    </w:p>
    <w:p>
      <w:pPr>
        <w:spacing w:after="240" w:line="240" w:lineRule="atLeast"/>
      </w:pPr>
      <w:r>
        <w:rPr/>
        <w:t xml:space="preserve">Groebner, V. (10. Juli 2021). Magische Zeichen. </w:t>
      </w:r>
      <w:r>
        <w:rPr>
          <w:i w:val="1"/>
          <w:iCs w:val="1"/>
        </w:rPr>
        <w:t xml:space="preserve">Sonntagszeitung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(20. Juni 2021). Ist die Schönheit der Berge unwiderruflich kaputt? Rezension von Selma Mahlknecht: Bed &amp; Breakfast, Raetia Verlag 2021. </w:t>
      </w:r>
      <w:r>
        <w:rPr>
          <w:i w:val="1"/>
          <w:iCs w:val="1"/>
        </w:rPr>
        <w:t xml:space="preserve">Sonntagszeitung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(18. Februar 2021). Wegfahren ins Wegfahren. </w:t>
      </w:r>
      <w:r>
        <w:rPr>
          <w:i w:val="1"/>
          <w:iCs w:val="1"/>
        </w:rPr>
        <w:t xml:space="preserve">Frankfurter Allgemeine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(31. Dezember 2020). Identität. Was mich und uns zusammenhält. </w:t>
      </w:r>
      <w:r>
        <w:rPr>
          <w:i w:val="1"/>
          <w:iCs w:val="1"/>
        </w:rPr>
        <w:t xml:space="preserve">NZZ Geschichte</w:t>
      </w:r>
      <w:r>
        <w:rPr/>
        <w:t xml:space="preserve">, </w:t>
      </w:r>
      <w:r>
        <w:rPr>
          <w:i w:val="1"/>
          <w:iCs w:val="1"/>
        </w:rPr>
        <w:t xml:space="preserve">31</w:t>
      </w:r>
      <w:r>
        <w:rPr/>
        <w:t xml:space="preserve">, 18–23.</w:t>
      </w:r>
    </w:p>
    <w:p>
      <w:pPr>
        <w:spacing w:after="240" w:line="240" w:lineRule="atLeast"/>
      </w:pPr>
      <w:r>
        <w:rPr/>
        <w:t xml:space="preserve">Groebner, V. (28. Juni 2020). Der letzte Sommer der Utopie. </w:t>
      </w:r>
      <w:r>
        <w:rPr>
          <w:i w:val="1"/>
          <w:iCs w:val="1"/>
        </w:rPr>
        <w:t xml:space="preserve">Frankfurter Allgemeine Sonntagszeitung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(27. Juni 2020). Der Gott des Fernwehs. </w:t>
      </w:r>
      <w:r>
        <w:rPr>
          <w:i w:val="1"/>
          <w:iCs w:val="1"/>
        </w:rPr>
        <w:t xml:space="preserve">Das Magazin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(2019). Der tätowierte Mensch. </w:t>
      </w:r>
      <w:r>
        <w:rPr>
          <w:i w:val="1"/>
          <w:iCs w:val="1"/>
        </w:rPr>
        <w:t xml:space="preserve">Merkur</w:t>
      </w:r>
      <w:r>
        <w:rPr/>
        <w:t xml:space="preserve">, </w:t>
      </w:r>
      <w:r>
        <w:rPr>
          <w:i w:val="1"/>
          <w:iCs w:val="1"/>
        </w:rPr>
        <w:t xml:space="preserve">73</w:t>
      </w:r>
      <w:r>
        <w:rPr/>
        <w:t xml:space="preserve"> (845), 15–26.</w:t>
      </w:r>
    </w:p>
    <w:p>
      <w:pPr>
        <w:spacing w:after="240" w:line="240" w:lineRule="atLeast"/>
      </w:pPr>
      <w:r>
        <w:rPr/>
        <w:t xml:space="preserve">Groebner, V. (2019). Akademische Grössenverhältnisse. Ein Zettelkasten. </w:t>
      </w:r>
      <w:r>
        <w:rPr>
          <w:i w:val="1"/>
          <w:iCs w:val="1"/>
        </w:rPr>
        <w:t xml:space="preserve">Merkur</w:t>
      </w:r>
      <w:r>
        <w:rPr/>
        <w:t xml:space="preserve">, </w:t>
      </w:r>
      <w:r>
        <w:rPr>
          <w:i w:val="1"/>
          <w:iCs w:val="1"/>
        </w:rPr>
        <w:t xml:space="preserve">73</w:t>
      </w:r>
      <w:r>
        <w:rPr/>
        <w:t xml:space="preserve"> (838), 82–90.</w:t>
      </w:r>
    </w:p>
    <w:p>
      <w:pPr>
        <w:spacing w:after="240" w:line="240" w:lineRule="atLeast"/>
      </w:pPr>
      <w:r>
        <w:rPr/>
        <w:t xml:space="preserve">Groebner, V. (2019). Neustart nach dem Fressen. </w:t>
      </w:r>
      <w:r>
        <w:rPr>
          <w:i w:val="1"/>
          <w:iCs w:val="1"/>
        </w:rPr>
        <w:t xml:space="preserve">041. Das Kulturmagazin</w:t>
      </w:r>
      <w:r>
        <w:rPr/>
        <w:t xml:space="preserve">, </w:t>
      </w:r>
      <w:r>
        <w:rPr>
          <w:i w:val="1"/>
          <w:iCs w:val="1"/>
        </w:rPr>
        <w:t xml:space="preserve">31</w:t>
      </w:r>
      <w:r>
        <w:rPr/>
        <w:t xml:space="preserve"> (332), 23.</w:t>
      </w:r>
    </w:p>
    <w:p>
      <w:pPr>
        <w:spacing w:after="240" w:line="240" w:lineRule="atLeast"/>
      </w:pPr>
      <w:r>
        <w:rPr/>
        <w:t xml:space="preserve">Groebner, V. (31. August 2019). Zum Glück ist der Sommer vorbei. </w:t>
      </w:r>
      <w:r>
        <w:rPr>
          <w:i w:val="1"/>
          <w:iCs w:val="1"/>
        </w:rPr>
        <w:t xml:space="preserve">Tages-Anzeiger Magazin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(21. April 2019). Das nationale Superzeichen. </w:t>
      </w:r>
      <w:r>
        <w:rPr>
          <w:i w:val="1"/>
          <w:iCs w:val="1"/>
        </w:rPr>
        <w:t xml:space="preserve">Frankfurter Allgemeine Sonntagszeitung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(2018). Strandgeschichten. Vasco da Gama, der Müll und die Krähen. </w:t>
      </w:r>
      <w:r>
        <w:rPr>
          <w:i w:val="1"/>
          <w:iCs w:val="1"/>
        </w:rPr>
        <w:t xml:space="preserve">Merkur</w:t>
      </w:r>
      <w:r>
        <w:rPr/>
        <w:t xml:space="preserve">, (827), 92–98.</w:t>
      </w:r>
    </w:p>
    <w:p>
      <w:pPr>
        <w:spacing w:after="240" w:line="240" w:lineRule="atLeast"/>
      </w:pPr>
      <w:r>
        <w:rPr/>
        <w:t xml:space="preserve">Groebner, V. (23. November 2018). Gelehrte in Waffen. Rezension von Frank Rexroth: "Fröhliche Scholastik". </w:t>
      </w:r>
      <w:r>
        <w:rPr>
          <w:i w:val="1"/>
          <w:iCs w:val="1"/>
        </w:rPr>
        <w:t xml:space="preserve">Süddeutsche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(2. September 2018). Reise ins Früher. </w:t>
      </w:r>
      <w:r>
        <w:rPr>
          <w:i w:val="1"/>
          <w:iCs w:val="1"/>
        </w:rPr>
        <w:t xml:space="preserve">Sonntag</w:t>
      </w:r>
      <w:r>
        <w:rPr/>
        <w:t xml:space="preserve">, 2 ff.</w:t>
      </w:r>
    </w:p>
    <w:p>
      <w:pPr>
        <w:spacing w:after="240" w:line="240" w:lineRule="atLeast"/>
      </w:pPr>
      <w:r>
        <w:rPr/>
        <w:t xml:space="preserve">Groebner, V. (14. August 2018). Massentrip in die Vergangenheit. </w:t>
      </w:r>
      <w:r>
        <w:rPr>
          <w:i w:val="1"/>
          <w:iCs w:val="1"/>
        </w:rPr>
        <w:t xml:space="preserve">Sonntagsblick Magazin</w:t>
      </w:r>
      <w:r>
        <w:rPr/>
        <w:t xml:space="preserve">, 14–17.</w:t>
      </w:r>
    </w:p>
    <w:p>
      <w:pPr>
        <w:spacing w:after="240" w:line="240" w:lineRule="atLeast"/>
      </w:pPr>
      <w:r>
        <w:rPr/>
        <w:t xml:space="preserve">Groebner, V. (3. Juli 2018). Nicht nur sauber: Von der unbefleckten Empfängnis zur Schönheitsmilch. </w:t>
      </w:r>
      <w:r>
        <w:rPr>
          <w:i w:val="1"/>
          <w:iCs w:val="1"/>
        </w:rPr>
        <w:t xml:space="preserve">Süddeutsche Zeitung</w:t>
      </w:r>
      <w:r>
        <w:rPr/>
        <w:t xml:space="preserve">, 10 ff.</w:t>
      </w:r>
    </w:p>
    <w:p>
      <w:pPr>
        <w:spacing w:after="240" w:line="240" w:lineRule="atLeast"/>
      </w:pPr>
      <w:r>
        <w:rPr/>
        <w:t xml:space="preserve">Groebner, V. (3. Mai 2018). Maulen unter Palmen, Rezension von Marco d’Eramo: "Die Welt im Selfie". </w:t>
      </w:r>
      <w:r>
        <w:rPr>
          <w:i w:val="1"/>
          <w:iCs w:val="1"/>
        </w:rPr>
        <w:t xml:space="preserve">Süddeutsche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(9. März 2018). Südfrüchte am Ätna. </w:t>
      </w:r>
      <w:r>
        <w:rPr>
          <w:i w:val="1"/>
          <w:iCs w:val="1"/>
        </w:rPr>
        <w:t xml:space="preserve">Merkur</w:t>
      </w:r>
      <w:r>
        <w:rPr/>
        <w:t xml:space="preserve">, </w:t>
      </w:r>
      <w:r>
        <w:rPr>
          <w:i w:val="1"/>
          <w:iCs w:val="1"/>
        </w:rPr>
        <w:t xml:space="preserve">820</w:t>
      </w:r>
      <w:r>
        <w:rPr/>
        <w:t xml:space="preserve">, 92–95.</w:t>
      </w:r>
    </w:p>
    <w:p>
      <w:pPr>
        <w:spacing w:after="240" w:line="240" w:lineRule="atLeast"/>
      </w:pPr>
      <w:r>
        <w:rPr/>
        <w:t xml:space="preserve">Groebner, V. (2018). Pro: Für das Reisen. </w:t>
      </w:r>
      <w:r>
        <w:rPr>
          <w:i w:val="1"/>
          <w:iCs w:val="1"/>
        </w:rPr>
        <w:t xml:space="preserve">Frankfurter Allgemeine Quarterly</w:t>
      </w:r>
      <w:r>
        <w:rPr/>
        <w:t xml:space="preserve">, 68–69.</w:t>
      </w:r>
    </w:p>
    <w:p>
      <w:pPr>
        <w:spacing w:after="240" w:line="240" w:lineRule="atLeast"/>
      </w:pPr>
      <w:r>
        <w:rPr/>
        <w:t xml:space="preserve">Groebner, V. (2018). Retourkutschieren. Eine Landpartie. </w:t>
      </w:r>
      <w:r>
        <w:rPr>
          <w:i w:val="1"/>
          <w:iCs w:val="1"/>
        </w:rPr>
        <w:t xml:space="preserve">Magazin der Kulturstiftung des Bundes</w:t>
      </w:r>
      <w:r>
        <w:rPr/>
        <w:t xml:space="preserve">, </w:t>
      </w:r>
      <w:r>
        <w:rPr>
          <w:i w:val="1"/>
          <w:iCs w:val="1"/>
        </w:rPr>
        <w:t xml:space="preserve">31</w:t>
      </w:r>
      <w:r>
        <w:rPr/>
        <w:t xml:space="preserve">, 2–3.</w:t>
      </w:r>
    </w:p>
    <w:p>
      <w:pPr>
        <w:spacing w:after="240" w:line="240" w:lineRule="atLeast"/>
      </w:pPr>
      <w:r>
        <w:rPr/>
        <w:t xml:space="preserve">Groebner, V. (2017). Gipfelglühen. </w:t>
      </w:r>
      <w:r>
        <w:rPr>
          <w:i w:val="1"/>
          <w:iCs w:val="1"/>
        </w:rPr>
        <w:t xml:space="preserve">Merkur</w:t>
      </w:r>
      <w:r>
        <w:rPr/>
        <w:t xml:space="preserve">, </w:t>
      </w:r>
      <w:r>
        <w:rPr>
          <w:i w:val="1"/>
          <w:iCs w:val="1"/>
        </w:rPr>
        <w:t xml:space="preserve">815</w:t>
      </w:r>
      <w:r>
        <w:rPr/>
        <w:t xml:space="preserve">, 90–93.</w:t>
      </w:r>
    </w:p>
    <w:p>
      <w:pPr>
        <w:spacing w:after="240" w:line="240" w:lineRule="atLeast"/>
      </w:pPr>
      <w:r>
        <w:rPr/>
        <w:t xml:space="preserve">Groebner, V. (2017). Roots, Replica, Replay: European Medievalisms after 1945. </w:t>
      </w:r>
      <w:r>
        <w:rPr>
          <w:i w:val="1"/>
          <w:iCs w:val="1"/>
        </w:rPr>
        <w:t xml:space="preserve">Praticas de historia Nr. 4 (2017)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(29. Februar 2016). Im Meer des Leidens. </w:t>
      </w:r>
      <w:r>
        <w:rPr>
          <w:i w:val="1"/>
          <w:iCs w:val="1"/>
        </w:rPr>
        <w:t xml:space="preserve">Süddeutsche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(2016). Die Sturzgeburt Europas. </w:t>
      </w:r>
      <w:r>
        <w:rPr>
          <w:i w:val="1"/>
          <w:iCs w:val="1"/>
        </w:rPr>
        <w:t xml:space="preserve">NZZ Geschichte</w:t>
      </w:r>
      <w:r>
        <w:rPr/>
        <w:t xml:space="preserve">, 94–106.</w:t>
      </w:r>
    </w:p>
    <w:p>
      <w:pPr>
        <w:spacing w:after="240" w:line="240" w:lineRule="atLeast"/>
      </w:pPr>
      <w:r>
        <w:rPr/>
        <w:t xml:space="preserve">Groebner, V. (2016). Die Werbung braucht ganz viel "Ich". </w:t>
      </w:r>
      <w:r>
        <w:rPr>
          <w:i w:val="1"/>
          <w:iCs w:val="1"/>
        </w:rPr>
        <w:t xml:space="preserve">041. Das Kulturmagazin</w:t>
      </w:r>
      <w:r>
        <w:rPr/>
        <w:t xml:space="preserve">, 18–19.</w:t>
      </w:r>
    </w:p>
    <w:p>
      <w:pPr>
        <w:spacing w:after="240" w:line="240" w:lineRule="atLeast"/>
      </w:pPr>
      <w:r>
        <w:rPr/>
        <w:t xml:space="preserve">Groebner, V. (2016). Dieser Ausstellungskatalog ist ein Selfie. </w:t>
      </w:r>
      <w:r>
        <w:rPr>
          <w:i w:val="1"/>
          <w:iCs w:val="1"/>
        </w:rPr>
        <w:t xml:space="preserve">Merkur 809</w:t>
      </w:r>
      <w:r>
        <w:rPr/>
        <w:t xml:space="preserve">, 68–73.</w:t>
      </w:r>
    </w:p>
    <w:p>
      <w:pPr>
        <w:spacing w:after="240" w:line="240" w:lineRule="atLeast"/>
      </w:pPr>
      <w:r>
        <w:rPr/>
        <w:t xml:space="preserve">Groebner, V. (2016). Im Paradies. 14 Ansichtskarten aus Übersee. </w:t>
      </w:r>
      <w:r>
        <w:rPr>
          <w:i w:val="1"/>
          <w:iCs w:val="1"/>
        </w:rPr>
        <w:t xml:space="preserve">wespennest</w:t>
      </w:r>
      <w:r>
        <w:rPr/>
        <w:t xml:space="preserve">, 10–15.</w:t>
      </w:r>
    </w:p>
    <w:p>
      <w:pPr>
        <w:spacing w:after="240" w:line="240" w:lineRule="atLeast"/>
      </w:pPr>
      <w:r>
        <w:rPr/>
        <w:t xml:space="preserve">Groebner, V. (13. September 2015). Unternehmer, Clans und Söldner.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(26. Juli 2015). Kennen wir uns von irgendwoher? </w:t>
      </w:r>
      <w:r>
        <w:rPr>
          <w:i w:val="1"/>
          <w:iCs w:val="1"/>
        </w:rPr>
        <w:t xml:space="preserve">Frankfurter Allgemeine Sonntagszeitung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(6. Mai 2015). Wie haltbar ist die Zukunft? </w:t>
      </w:r>
      <w:r>
        <w:rPr>
          <w:i w:val="1"/>
          <w:iCs w:val="1"/>
        </w:rPr>
        <w:t xml:space="preserve">Frankfurter Allgemeine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(2015). Unerträglich schön: Die unkaputtbare rosa Fabrik. </w:t>
      </w:r>
      <w:r>
        <w:rPr>
          <w:i w:val="1"/>
          <w:iCs w:val="1"/>
        </w:rPr>
        <w:t xml:space="preserve">041. Kulturmagazin Luzern</w:t>
      </w:r>
      <w:r>
        <w:rPr/>
        <w:t xml:space="preserve">, 8–10.</w:t>
      </w:r>
    </w:p>
    <w:p>
      <w:pPr>
        <w:spacing w:after="240" w:line="240" w:lineRule="atLeast"/>
      </w:pPr>
      <w:r>
        <w:rPr/>
        <w:t xml:space="preserve">Groebner, V. (9. Juli 2014). Waterboarding und Rostbratwürste. </w:t>
      </w:r>
      <w:r>
        <w:rPr>
          <w:i w:val="1"/>
          <w:iCs w:val="1"/>
        </w:rPr>
        <w:t xml:space="preserve">Frankfurter Allgemeine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(8. Mai 2014). Sie sollen nicht sterben: Fotos an eine Schweizer Madonnenfigur im Ersten Weltkrieg. </w:t>
      </w:r>
      <w:r>
        <w:rPr>
          <w:i w:val="1"/>
          <w:iCs w:val="1"/>
        </w:rPr>
        <w:t xml:space="preserve">Die Zeit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(18. März 2014). Ende einer Last: Günter Karl Bose ist vom Buch befreit.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(23. Januar 2014). Feldpost an die schwarze Madonna. </w:t>
      </w:r>
      <w:r>
        <w:rPr>
          <w:i w:val="1"/>
          <w:iCs w:val="1"/>
        </w:rPr>
        <w:t xml:space="preserve">Tages-Anzeiger, Kultur &amp; Gesellschaft</w:t>
      </w:r>
      <w:r>
        <w:rPr/>
        <w:t xml:space="preserve">, 27 ff.</w:t>
      </w:r>
    </w:p>
    <w:p>
      <w:pPr>
        <w:spacing w:after="240" w:line="240" w:lineRule="atLeast"/>
      </w:pPr>
      <w:r>
        <w:rPr/>
        <w:t xml:space="preserve">Groebner, V. (2014). Bildernostalgie: Weißt Du noch, als in Luzern das Tram fuhr? </w:t>
      </w:r>
      <w:r>
        <w:rPr>
          <w:i w:val="1"/>
          <w:iCs w:val="1"/>
        </w:rPr>
        <w:t xml:space="preserve">041. Kulturmagazin Luzern</w:t>
      </w:r>
      <w:r>
        <w:rPr/>
        <w:t xml:space="preserve">, 8–14.</w:t>
      </w:r>
    </w:p>
    <w:p>
      <w:pPr>
        <w:spacing w:after="240" w:line="240" w:lineRule="atLeast"/>
      </w:pPr>
      <w:r>
        <w:rPr/>
        <w:t xml:space="preserve">Groebner, V. (21. Juli 2013). Die Toten reden immer Englisch. </w:t>
      </w:r>
      <w:r>
        <w:rPr>
          <w:i w:val="1"/>
          <w:iCs w:val="1"/>
        </w:rPr>
        <w:t xml:space="preserve">Frankfurter Allgemeine Sonntagszeitung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(6. Februar 2013). Muss ich das lesen? Ja, das hier schon. </w:t>
      </w:r>
      <w:r>
        <w:rPr>
          <w:i w:val="1"/>
          <w:iCs w:val="1"/>
        </w:rPr>
        <w:t xml:space="preserve">Frankfurter Allgemeine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(21. März 2012). Wo bitte geht es hier zum Wichtigen? </w:t>
      </w:r>
      <w:r>
        <w:rPr>
          <w:i w:val="1"/>
          <w:iCs w:val="1"/>
        </w:rPr>
        <w:t xml:space="preserve">Frankfurter Allgemeine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(13. Februar 2010). Zeige Deine Wunde! Gewaltbilder und ihre Betrachter in historischer Perspektive.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(13. Dezember 2008). Ausgeschlachtet und verkauft: Der menschliche Körper als Ware - Aktualität und Geschichte. </w:t>
      </w:r>
      <w:r>
        <w:rPr>
          <w:i w:val="1"/>
          <w:iCs w:val="1"/>
        </w:rPr>
        <w:t xml:space="preserve">Basler Zeitung Magazin</w:t>
      </w:r>
      <w:r>
        <w:rPr/>
        <w:t xml:space="preserve">. Abgerufen von https://www.unilu.ch/fileadmin/shared/Publikationen/groebner_final-3.pdf</w:t>
      </w:r>
    </w:p>
    <w:p>
      <w:pPr>
        <w:spacing w:after="240" w:line="240" w:lineRule="atLeast"/>
      </w:pPr>
      <w:r>
        <w:rPr/>
        <w:t xml:space="preserve">Groebner, V. (11. November 2008). Per mail nicht erreichbar - ein Selbstversuch. </w:t>
      </w:r>
      <w:r>
        <w:rPr>
          <w:i w:val="1"/>
          <w:iCs w:val="1"/>
        </w:rPr>
        <w:t xml:space="preserve">Frankfurter Allgemeine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(26. April 2008). Neues von den Alten: Renaissance retroaktiv.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(26. März 2008). Protokolle von bösen Träumen: Anton Holzer über Fotografie und Propaganda im Ersten Weltkrieg.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(2008). Willkommen in der Zeitmaschine: Fast forward ins Mittelalter. </w:t>
      </w:r>
      <w:r>
        <w:rPr>
          <w:i w:val="1"/>
          <w:iCs w:val="1"/>
        </w:rPr>
        <w:t xml:space="preserve">Literaturen</w:t>
      </w:r>
      <w:r>
        <w:rPr/>
        <w:t xml:space="preserve">, 14–20.</w:t>
      </w:r>
    </w:p>
    <w:p>
      <w:pPr>
        <w:spacing w:after="240" w:line="240" w:lineRule="atLeast"/>
      </w:pPr>
      <w:r>
        <w:rPr/>
        <w:t xml:space="preserve">Groebner, V. (19. Mai 2006). Bieder: Der "Da Vinci Code" passt zur neuen Leitkultur. </w:t>
      </w:r>
      <w:r>
        <w:rPr>
          <w:i w:val="1"/>
          <w:iCs w:val="1"/>
        </w:rPr>
        <w:t xml:space="preserve">Freitag</w:t>
      </w:r>
      <w:r>
        <w:rPr/>
        <w:t xml:space="preserve">, (20).</w:t>
      </w:r>
    </w:p>
    <w:p>
      <w:pPr>
        <w:spacing w:after="240" w:line="240" w:lineRule="atLeast"/>
      </w:pPr>
      <w:r>
        <w:rPr/>
        <w:t xml:space="preserve">Groebner, V. (9. September 2006). Zur Kontrolle bitte hier entlang: Check on Arrival im Zürcher Landesmuseum. </w:t>
      </w:r>
      <w:r>
        <w:rPr>
          <w:i w:val="1"/>
          <w:iCs w:val="1"/>
        </w:rPr>
        <w:t xml:space="preserve">Tages-Anzeiger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(2. Juli 2006). Der Wüstenplanet: Unsere Universitäten und der Stolz auf die grosse Tradition. </w:t>
      </w:r>
      <w:r>
        <w:rPr>
          <w:i w:val="1"/>
          <w:iCs w:val="1"/>
        </w:rPr>
        <w:t xml:space="preserve">Frankfurter Allgemeine Sonntagszeitung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(21. Januar 2006). Nicht nur tapfer und treu: Geschichte und Gegenwart der Schweizergarde.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(10. Januar 2006). Das exotische Gesicht der Immigration. </w:t>
      </w:r>
      <w:r>
        <w:rPr>
          <w:i w:val="1"/>
          <w:iCs w:val="1"/>
        </w:rPr>
        <w:t xml:space="preserve">Tages-Anzeiger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(7. Januar 2006). Der dunkle Spiegel: Überwachungsphantasien sind uralt. </w:t>
      </w:r>
      <w:r>
        <w:rPr>
          <w:i w:val="1"/>
          <w:iCs w:val="1"/>
        </w:rPr>
        <w:t xml:space="preserve">Süddeutsche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(2005). Die Universität der Zukunft / Jenseits der Marmelade: Spezialisierung und Selbstbewusstsein. </w:t>
      </w:r>
      <w:r>
        <w:rPr>
          <w:i w:val="1"/>
          <w:iCs w:val="1"/>
        </w:rPr>
        <w:t xml:space="preserve">Bulletin der Schweizerischen Akademie der Geistes und Sozialwissenschaften</w:t>
      </w:r>
      <w:r>
        <w:rPr/>
        <w:t xml:space="preserve">, (3), 36–38.</w:t>
      </w:r>
    </w:p>
    <w:p>
      <w:pPr>
        <w:spacing w:after="240" w:line="240" w:lineRule="atLeast"/>
      </w:pPr>
      <w:r>
        <w:rPr/>
        <w:t xml:space="preserve">Groebner, V. (28. Dezember 2005). Ansichtssache, Glaubenssache: Hans Beltings Studien über das echte Bild.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(24. Dezember 2005). Geh durch die Tür: Zeitreisen, die Suche nach dem Authentischen und der Pass.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(5. Oktober 2005). Alternde Helden der westlichen Welt: William Bouwsma über die späte Renaissance.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(21. März 2005). Die unaufhörlich redenden Dinge: "Making Things Public" im ZKM Karlsruhe. </w:t>
      </w:r>
      <w:r>
        <w:rPr>
          <w:i w:val="1"/>
          <w:iCs w:val="1"/>
        </w:rPr>
        <w:t xml:space="preserve">Tages-Anzeiger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(20. Februar 2005). Die Pest: Plädoyer für eine neue Gegenwärtigkeit. </w:t>
      </w:r>
      <w:r>
        <w:rPr>
          <w:i w:val="1"/>
          <w:iCs w:val="1"/>
        </w:rPr>
        <w:t xml:space="preserve">Frankfurter Allgemeine Sonntagszeitung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(19. Januar 2005). Sammelband als Symptom: Universität ohne Zukunft?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(24. Mai 2003). Die Ränder mit Gelehrtheit füllen: Hans Ulrich Gumbrecht über das philologische Vergnügen. </w:t>
      </w:r>
      <w:r>
        <w:rPr>
          <w:i w:val="1"/>
          <w:iCs w:val="1"/>
        </w:rPr>
        <w:t xml:space="preserve">Süddeutsche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(19. Mai 2003). Wessen Kultur? Geschichte und die Wissensökonomie des 21. Jahrhunderts. </w:t>
      </w:r>
      <w:r>
        <w:rPr>
          <w:i w:val="1"/>
          <w:iCs w:val="1"/>
        </w:rPr>
        <w:t xml:space="preserve">Süddeutsche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(22. Februar 2003). Vom Werwolf lernen: Metamorphosen im Mittelalter.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Kury, P., &amp; Groebner, V. (24. Februar 2001). Die Kultur des Geheimen. Verschwörungen. </w:t>
      </w:r>
      <w:r>
        <w:rPr>
          <w:i w:val="1"/>
          <w:iCs w:val="1"/>
        </w:rPr>
        <w:t xml:space="preserve">Basler Magazin</w:t>
      </w:r>
      <w:r>
        <w:rPr/>
        <w:t xml:space="preserve">, (8), 3–6.</w:t>
      </w:r>
    </w:p>
    <w:p>
      <w:pPr>
        <w:spacing w:after="240" w:line="240" w:lineRule="atLeast"/>
      </w:pPr>
      <w:r>
        <w:rPr/>
        <w:t xml:space="preserve">Groebner, V. (6. Juni 2001). Gespenstergeschichten: Stephen Greenblatt über Hamlet und das Fegefeuer.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(19. Oktober 2000). Wenn alles Kultur wird: Ein Pamplet von Terry Eagleton.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Groebner, V. (5. April 2023). «Ich fürchte, Ferien haben mit Freiheit nichts zu tun».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(19. März 2023). Über Wohnkultur und den Umgang mit Dingen. </w:t>
      </w:r>
      <w:r>
        <w:rPr>
          <w:i w:val="1"/>
          <w:iCs w:val="1"/>
        </w:rPr>
        <w:t xml:space="preserve">Tages-Anzeiger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(11. März 2023). Ein Kaffeeservice ist schon genug. </w:t>
      </w:r>
      <w:r>
        <w:rPr>
          <w:i w:val="1"/>
          <w:iCs w:val="1"/>
        </w:rPr>
        <w:t xml:space="preserve">Deutschlandfunk Kultur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(11. März 2023). Wir brauchen den Trost der Dinge. </w:t>
      </w:r>
      <w:r>
        <w:rPr>
          <w:i w:val="1"/>
          <w:iCs w:val="1"/>
        </w:rPr>
        <w:t xml:space="preserve">ZEIT online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(19. Februar 2023). Minimalismus muss man sich leisten können. </w:t>
      </w:r>
      <w:r>
        <w:rPr>
          <w:i w:val="1"/>
          <w:iCs w:val="1"/>
        </w:rPr>
        <w:t xml:space="preserve">Der Standard, Wien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(12. Juni 2022). Über Protestbewegungen als Angstgemeinschaften. </w:t>
      </w:r>
      <w:r>
        <w:rPr>
          <w:i w:val="1"/>
          <w:iCs w:val="1"/>
        </w:rPr>
        <w:t xml:space="preserve">Deutschlandfunk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(23. Januar 2022). Wir sind nie so langweilig, wie wenn wir von uns selbst sprechen. </w:t>
      </w:r>
      <w:r>
        <w:rPr>
          <w:i w:val="1"/>
          <w:iCs w:val="1"/>
        </w:rPr>
        <w:t xml:space="preserve">SonntagsZeitung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(2021). Gut für das europäische Selbstwertgefühl. </w:t>
      </w:r>
      <w:r>
        <w:rPr>
          <w:i w:val="1"/>
          <w:iCs w:val="1"/>
        </w:rPr>
        <w:t xml:space="preserve">Spiegel Geschichte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Groebner, V. (2025). Imagination Mittelalter. Projektionen einer Epoche in Sammlungen des 18. und 19. Jahrhunderts. In Livia Cardenas (Hrsg.). Göttingen: Francia recensio 2024 / 3. https://doi.org/DOI: 10.11588/frrec.2024.3.106642</w:t>
      </w:r>
    </w:p>
    <w:p>
      <w:pPr>
        <w:spacing w:after="240" w:line="240" w:lineRule="atLeast"/>
      </w:pPr>
      <w:r>
        <w:rPr/>
        <w:t xml:space="preserve">Groebner, V. (2024). Andreas Ludwig, Geschichte von morgen. Über das Sammeln von Gegenwart in historischen Museen. Göttingen, Wallstein 2024. </w:t>
      </w:r>
      <w:r>
        <w:rPr>
          <w:i w:val="1"/>
          <w:iCs w:val="1"/>
        </w:rPr>
        <w:t xml:space="preserve">Historische Zeitschrift</w:t>
      </w:r>
      <w:r>
        <w:rPr/>
        <w:t xml:space="preserve">, </w:t>
      </w:r>
      <w:r>
        <w:rPr>
          <w:i w:val="1"/>
          <w:iCs w:val="1"/>
        </w:rPr>
        <w:t xml:space="preserve">319</w:t>
      </w:r>
      <w:r>
        <w:rPr/>
        <w:t xml:space="preserve"> (3), 644–646. https://doi.org/doi.org/10.1515/hzhz-2024-1325</w:t>
      </w:r>
    </w:p>
    <w:p>
      <w:pPr>
        <w:spacing w:after="240" w:line="240" w:lineRule="atLeast"/>
      </w:pPr>
      <w:r>
        <w:rPr/>
        <w:t xml:space="preserve">Groebner, V. (März 2024). Wunderwaffen waren auch im Angebot. </w:t>
      </w:r>
      <w:r>
        <w:rPr>
          <w:i w:val="1"/>
          <w:iCs w:val="1"/>
        </w:rPr>
        <w:t xml:space="preserve">Frankfurter Allgemeine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(2021). Ulrike Jureit, Magie des Authentischen. Das Nachleben von Krieg und Gewalt im Reenactment. (Wert der Vergangenheit.) Göttingen, Wallstein 2020. </w:t>
      </w:r>
      <w:r>
        <w:rPr>
          <w:i w:val="1"/>
          <w:iCs w:val="1"/>
        </w:rPr>
        <w:t xml:space="preserve">Historische Zeitschrift</w:t>
      </w:r>
      <w:r>
        <w:rPr/>
        <w:t xml:space="preserve">, </w:t>
      </w:r>
      <w:r>
        <w:rPr>
          <w:i w:val="1"/>
          <w:iCs w:val="1"/>
        </w:rPr>
        <w:t xml:space="preserve">313</w:t>
      </w:r>
      <w:r>
        <w:rPr/>
        <w:t xml:space="preserve"> (2), 449–451.</w:t>
      </w:r>
    </w:p>
    <w:p>
      <w:pPr>
        <w:spacing w:after="240" w:line="240" w:lineRule="atLeast"/>
      </w:pPr>
      <w:r>
        <w:rPr/>
        <w:t xml:space="preserve">Groebner, V. (April 2021). Zeig Dich im Zauberspieglein. Rezension zu „Body-Bilder. Körperkultur, Digitalisierung und soziale Netzwerke“. </w:t>
      </w:r>
      <w:r>
        <w:rPr>
          <w:i w:val="1"/>
          <w:iCs w:val="1"/>
        </w:rPr>
        <w:t xml:space="preserve">Soziopolis</w:t>
      </w:r>
      <w:r>
        <w:rPr/>
        <w:t xml:space="preserve">. Abgerufen von https://www.soziopolis.de/zeig-dich-im-zauberspieglein.html</w:t>
      </w:r>
    </w:p>
    <w:p>
      <w:pPr>
        <w:spacing w:after="240" w:line="240" w:lineRule="atLeast"/>
      </w:pPr>
      <w:r>
        <w:rPr/>
        <w:t xml:space="preserve">Groebner, V. (2020). Thomas Etzemüller (Hg.): Der Auftritt. Performanz in den Wissenschaften. In hsozkult (Hrsg.).</w:t>
      </w:r>
    </w:p>
    <w:p>
      <w:pPr>
        <w:spacing w:after="240" w:line="240" w:lineRule="atLeast"/>
      </w:pPr>
      <w:r>
        <w:rPr/>
        <w:t xml:space="preserve">Groebner, V. (Februar 2018). Woher kommt unsere Blindheit? Siena 1338. </w:t>
      </w:r>
      <w:r>
        <w:rPr>
          <w:i w:val="1"/>
          <w:iCs w:val="1"/>
        </w:rPr>
        <w:t xml:space="preserve">FAZ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(Oktober 2017). Vergiss die Schraube nicht. </w:t>
      </w:r>
      <w:r>
        <w:rPr>
          <w:i w:val="1"/>
          <w:iCs w:val="1"/>
        </w:rPr>
        <w:t xml:space="preserve">Frankfurter Allgemeine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(2013). Überschwängliche Ausnüchterung: Albrecht Koschorke erzählt von sich. </w:t>
      </w:r>
      <w:r>
        <w:rPr>
          <w:i w:val="1"/>
          <w:iCs w:val="1"/>
        </w:rPr>
        <w:t xml:space="preserve">Merkur. Zeitschrift für europäisches Denken</w:t>
      </w:r>
      <w:r>
        <w:rPr/>
        <w:t xml:space="preserve">, (768), 451–456.</w:t>
      </w:r>
    </w:p>
    <w:p>
      <w:pPr>
        <w:spacing w:after="240" w:line="240" w:lineRule="atLeast"/>
      </w:pPr>
      <w:r>
        <w:rPr/>
        <w:t xml:space="preserve">Groebner, V. (2013). "Ein Staubsauger namens Emotion": Jan Plampers ‹Geschichte der Gefühle›. </w:t>
      </w:r>
      <w:r>
        <w:rPr>
          <w:i w:val="1"/>
          <w:iCs w:val="1"/>
        </w:rPr>
        <w:t xml:space="preserve">Zeitschrift für Ideengeschichte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(3), 109–116.</w:t>
      </w:r>
    </w:p>
    <w:p>
      <w:pPr>
        <w:spacing w:after="240" w:line="240" w:lineRule="atLeast"/>
      </w:pPr>
      <w:r>
        <w:rPr/>
        <w:t xml:space="preserve">Groebner, V. (April 2013). Darf ich Deine Maske sehen? Hans Beltings "Geschichte des Gesichts".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(2012). Bitte mehr Osten: Über gelehrte Empfindungen. </w:t>
      </w:r>
      <w:r>
        <w:rPr>
          <w:i w:val="1"/>
          <w:iCs w:val="1"/>
        </w:rPr>
        <w:t xml:space="preserve">Merkur. Zeitschrift für europäisches Denken</w:t>
      </w:r>
      <w:r>
        <w:rPr/>
        <w:t xml:space="preserve">, (753), 110–114.</w:t>
      </w:r>
    </w:p>
    <w:p>
      <w:pPr>
        <w:spacing w:after="240" w:line="240" w:lineRule="atLeast"/>
      </w:pPr>
      <w:r>
        <w:rPr/>
        <w:t xml:space="preserve">Groebner, V. (April 2012). Autorität mit Wachsnase: Giorgio Agamben inszeniert mittelalterliche Mönche als Väter der Moderne. </w:t>
      </w:r>
      <w:r>
        <w:rPr>
          <w:i w:val="1"/>
          <w:iCs w:val="1"/>
        </w:rPr>
        <w:t xml:space="preserve">Die Zeit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(März 2012). Träge Materie, rasant beschleunigt: Lothar Müller über die Geschichte des Papiers.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Groebner, V. (2011). Wunschwirtschaft: Kommentar zu Monika Dommann. </w:t>
      </w:r>
      <w:r>
        <w:rPr>
          <w:i w:val="1"/>
          <w:iCs w:val="1"/>
        </w:rPr>
        <w:t xml:space="preserve">Zeitschrift für Kulturwissenschaften</w:t>
      </w:r>
      <w:r>
        <w:rPr/>
        <w:t xml:space="preserve">, (1), 123–128.</w:t>
      </w:r>
    </w:p>
    <w:p>
      <w:pPr>
        <w:spacing w:after="240" w:line="240" w:lineRule="atLeast"/>
      </w:pPr>
      <w:r>
        <w:rPr/>
        <w:t xml:space="preserve">Groebner, V. (2011). Keine Werbung und keine Pornos bitte, wir sind Kunsthistoriker. Anmerkungen zu zwei Neuerscheinungen: Besprechung von Horst Bredekamp "Theorie des Bildakts", Frankfurt/M. 2010, und Georges Didi-Huberman: Das Nachleben der Bilder", Frankfurt/M. 2010. </w:t>
      </w:r>
      <w:r>
        <w:rPr>
          <w:i w:val="1"/>
          <w:iCs w:val="1"/>
        </w:rPr>
        <w:t xml:space="preserve">Nach Feierabend. Zürcher Jahrbuch für Wissensgeschichte</w:t>
      </w:r>
      <w:r>
        <w:rPr/>
        <w:t xml:space="preserve">, 204–210.</w:t>
      </w:r>
    </w:p>
    <w:p>
      <w:pPr>
        <w:spacing w:after="240" w:line="240" w:lineRule="atLeast"/>
      </w:pPr>
      <w:r>
        <w:rPr/>
        <w:t xml:space="preserve">Groebner, V. (2009). Kaspar von Greyerz und Kim Siebenhüner (Hg.): Religion und Gewalt. Konflikte, Rituale, Deutungen (1500-1800), Veröffentlichungen des Max-Planck-Instituts für Geschichte 215, Göttingen 2006. </w:t>
      </w:r>
      <w:r>
        <w:rPr>
          <w:i w:val="1"/>
          <w:iCs w:val="1"/>
        </w:rPr>
        <w:t xml:space="preserve">Zeitschrift für historische Forschung</w:t>
      </w:r>
      <w:r>
        <w:rPr/>
        <w:t xml:space="preserve">, (36), 540–541.</w:t>
      </w:r>
    </w:p>
    <w:p>
      <w:pPr>
        <w:spacing w:after="240" w:line="240" w:lineRule="atLeast"/>
      </w:pPr>
      <w:r>
        <w:rPr/>
        <w:t xml:space="preserve">Groebner, V. (2009). W.J.T. Mitchell: Das Leben der Bilder: Eine Theorie der visuellen Kultur. </w:t>
      </w:r>
      <w:r>
        <w:rPr>
          <w:i w:val="1"/>
          <w:iCs w:val="1"/>
        </w:rPr>
        <w:t xml:space="preserve">Historische Anthropologie</w:t>
      </w:r>
      <w:r>
        <w:rPr/>
        <w:t xml:space="preserve">, (17), 285–286.</w:t>
      </w:r>
    </w:p>
    <w:p>
      <w:pPr>
        <w:spacing w:after="240" w:line="240" w:lineRule="atLeast"/>
      </w:pPr>
      <w:r>
        <w:rPr/>
        <w:t xml:space="preserve">Groebner, V. (2009). Agostino Paravicini Bagliani u.a. (Hg.): Le Portrait. La représentation de l’individu, Firenze 2007. </w:t>
      </w:r>
      <w:r>
        <w:rPr>
          <w:i w:val="1"/>
          <w:iCs w:val="1"/>
        </w:rPr>
        <w:t xml:space="preserve">Beiträge zur Geschichte der deutschen Sprache und Literatur</w:t>
      </w:r>
      <w:r>
        <w:rPr/>
        <w:t xml:space="preserve">, (131), 540–543.</w:t>
      </w:r>
    </w:p>
    <w:p>
      <w:pPr>
        <w:spacing w:after="240" w:line="240" w:lineRule="atLeast"/>
      </w:pPr>
      <w:r>
        <w:rPr/>
        <w:t xml:space="preserve">Groebner, V. (2008). Bruce Holsinger: Neomedievalism, Neoconservatism, and the War On Terror. </w:t>
      </w:r>
      <w:r>
        <w:rPr>
          <w:i w:val="1"/>
          <w:iCs w:val="1"/>
        </w:rPr>
        <w:t xml:space="preserve">Historische Anthropologie</w:t>
      </w:r>
      <w:r>
        <w:rPr/>
        <w:t xml:space="preserve">, (16), 473–475.</w:t>
      </w:r>
    </w:p>
    <w:p>
      <w:pPr>
        <w:spacing w:after="240" w:line="240" w:lineRule="atLeast"/>
      </w:pPr>
      <w:r>
        <w:rPr/>
        <w:t xml:space="preserve">Groebner, V. (2008). Allwissende Kollegen: Besprechung von Jaana Eichhorn, Geschichtswissenschaft zwischen Tradition und Innovation. Diskurse, Institutionen und Machtstrukturen der bundesdeutschen Frühneuzeitforschung. </w:t>
      </w:r>
      <w:r>
        <w:rPr>
          <w:i w:val="1"/>
          <w:iCs w:val="1"/>
        </w:rPr>
        <w:t xml:space="preserve">Rechtsgeschichte</w:t>
      </w:r>
      <w:r>
        <w:rPr/>
        <w:t xml:space="preserve">, (13), 207–209.</w:t>
      </w:r>
    </w:p>
    <w:p>
      <w:pPr>
        <w:spacing w:after="240" w:line="240" w:lineRule="atLeast"/>
      </w:pPr>
      <w:r>
        <w:rPr/>
        <w:t xml:space="preserve">Groebner, V. (2007). Marian Füssel: Gelehrtenkultur als symbolische Praxis. </w:t>
      </w:r>
      <w:r>
        <w:rPr>
          <w:i w:val="1"/>
          <w:iCs w:val="1"/>
        </w:rPr>
        <w:t xml:space="preserve">Historische Anthropologie</w:t>
      </w:r>
      <w:r>
        <w:rPr/>
        <w:t xml:space="preserve">, (15), 147–149.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Übersetzung</w:t>
      </w:r>
    </w:p>
    <w:p>
      <w:pPr>
        <w:spacing w:after="240" w:line="240" w:lineRule="atLeast"/>
      </w:pPr>
      <w:r>
        <w:rPr/>
        <w:t xml:space="preserve">Michler, A., &amp; Groebner, V. (2008). </w:t>
      </w:r>
      <w:r>
        <w:rPr>
          <w:i w:val="1"/>
          <w:iCs w:val="1"/>
        </w:rPr>
        <w:t xml:space="preserve">Storia dell’identità personale e della sua certificazione</w:t>
      </w:r>
      <w:r>
        <w:rPr/>
        <w:t xml:space="preserve">. (Michler, Andrea, Übers.). Bellinzona: Casagrande.</w:t>
      </w:r>
    </w:p>
    <w:p>
      <w:pPr>
        <w:spacing w:after="240" w:line="240" w:lineRule="atLeast"/>
      </w:pPr>
      <w:r>
        <w:rPr/>
        <w:t xml:space="preserve">Kyburg, M., Peck, J., &amp; Groebner, V. (2007). </w:t>
      </w:r>
      <w:r>
        <w:rPr>
          <w:i w:val="1"/>
          <w:iCs w:val="1"/>
        </w:rPr>
        <w:t xml:space="preserve">Who Are You?</w:t>
      </w:r>
      <w:r>
        <w:rPr/>
        <w:t xml:space="preserve"> (Kyburg, Mark &amp; Peck, John, Übers.). New York: Zone Books / MIT Press.</w:t>
      </w:r>
    </w:p>
    <w:p>
      <w:pPr>
        <w:spacing w:after="240" w:line="240" w:lineRule="atLeast"/>
      </w:pPr>
      <w:r>
        <w:rPr/>
        <w:t xml:space="preserve">Selwyn, P., &amp; Groebner, V. (2004). </w:t>
      </w:r>
      <w:r>
        <w:rPr>
          <w:i w:val="1"/>
          <w:iCs w:val="1"/>
        </w:rPr>
        <w:t xml:space="preserve">Defaced</w:t>
      </w:r>
      <w:r>
        <w:rPr/>
        <w:t xml:space="preserve">. (Selwyn, Pamela, Übers.). New York: Zone Books / MIT Press.</w:t>
      </w:r>
    </w:p>
    <w:p>
      <w:pPr>
        <w:spacing w:after="240" w:line="240" w:lineRule="atLeast"/>
      </w:pPr>
      <w:r>
        <w:rPr/>
        <w:t xml:space="preserve">Selvyn, P., &amp; Groebner, V. (2002). </w:t>
      </w:r>
      <w:r>
        <w:rPr>
          <w:i w:val="1"/>
          <w:iCs w:val="1"/>
        </w:rPr>
        <w:t xml:space="preserve">Liquid Assets, Dangerous Gifts</w:t>
      </w:r>
      <w:r>
        <w:rPr/>
        <w:t xml:space="preserve">. (Selvyn, Pamela, Übers.). Pennsylvania University Press.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Audio, Video</w:t>
      </w:r>
    </w:p>
    <w:p>
      <w:pPr>
        <w:spacing w:after="240" w:line="240" w:lineRule="atLeast"/>
      </w:pPr>
      <w:r>
        <w:rPr/>
        <w:t xml:space="preserve">Groebner, V. (23. Dezember 2019). </w:t>
      </w:r>
      <w:r>
        <w:rPr>
          <w:i w:val="1"/>
          <w:iCs w:val="1"/>
        </w:rPr>
        <w:t xml:space="preserve">Reisemüde, in der Reihe SWR2-Essay, Südwestdeutscher Rundfunk</w:t>
      </w:r>
      <w:r>
        <w:rPr/>
        <w:t xml:space="preserve">. Abgerufen von https://www.swr.de/swr2/doku-und-feature/SWR2-Essay-Reisemuede,swr2-essay-2019-12-23-100.html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Groebner, V. (10. August 2026). </w:t>
      </w:r>
      <w:r>
        <w:rPr>
          <w:i w:val="1"/>
          <w:iCs w:val="1"/>
        </w:rPr>
        <w:t xml:space="preserve">Was macht das Schreiben mit dem Schreiber?</w:t>
      </w:r>
      <w:r>
        <w:rPr/>
        <w:t xml:space="preserve"> Abgerufen von https://www.merkur-zeitschrift.de/2026/08/10/was-macht-das-schreiben-mit-dem-schreiber/</w:t>
      </w:r>
    </w:p>
    <w:p>
      <w:pPr>
        <w:spacing w:after="240" w:line="240" w:lineRule="atLeast"/>
      </w:pPr>
      <w:r>
        <w:rPr/>
        <w:t xml:space="preserve">Groebner, V. (2022). </w:t>
      </w:r>
      <w:r>
        <w:rPr>
          <w:i w:val="1"/>
          <w:iCs w:val="1"/>
        </w:rPr>
        <w:t xml:space="preserve">Zeit. Sind wir schon da? Beitrag zum Schwerpunktthema "hier leben" des Kulturfonds Frankfurt am Main</w:t>
      </w:r>
      <w:r>
        <w:rPr/>
        <w:t xml:space="preserve">. Abgerufen von https://kulturfonds-frm.de/essay-valentin-groebner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phil. Valentin Groebner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phil. Valentin Groebner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