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Vagias Karavas</w:t>
      </w:r>
    </w:p>
    <w:p>
      <w:pPr>
        <w:spacing w:after="240" w:line="240" w:lineRule="atLeast"/>
      </w:pPr>
      <w:r>
        <w:t xml:space="preserve">ORCID: 0000-0002-2629-089X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Körperverfassungsrecht, Entwurf eines inklusiven Biomedizinrechts, Zürich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Digitale Grundrechte, Elemente einer Verfassung des Informationsflusses im Internet, Baden-Baden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Amstutz Marc</w:t>
      </w:r>
      <w:r>
        <w:rPr/>
        <w:t xml:space="preserve">/</w:t>
      </w:r>
      <w:r>
        <w:rPr>
          <w:smallCaps w:val="1"/>
          <w:caps w:val="0"/>
        </w:rPr>
        <w:t xml:space="preserve">Abegg Andreas</w:t>
      </w:r>
      <w:r>
        <w:rPr/>
        <w:t xml:space="preserve">/</w:t>
      </w:r>
      <w:r>
        <w:rPr>
          <w:smallCaps w:val="1"/>
          <w:caps w:val="0"/>
        </w:rPr>
        <w:t xml:space="preserve">Karavas Vagias</w:t>
      </w:r>
      <w:r>
        <w:rPr/>
        <w:t xml:space="preserve">, Soziales Vertragsrecht: Eine rechtsevolutorische Studie, Beiheft der Zeitschrift für Schweizerisches Recht, Basel 2006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Somatic Jurisprudence: Re-Drawing the Boundaries of the Human Body in Biomedicine, in: Pólemos Journal of Law, Literature and Culture 17/1/2023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Die Beste aller möglichen Welten: Gunther Teubners Theodizee, in: Zeitschrift für Rechtssoziologie 42/2/2022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Ermächtigung durch Technik? Zum Umgang mit Technikoptionen im liberal-demokratischen Rechtsstaat am Beispiel der Eizellkonservierung, in: Ancilla Iuris 2019, S. 101–120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Das Parlament der Körperfragmente, Für eine Rechtsfassung des menschlichen Körpers in der Biomedizin, in: Zeitschrift für Rechtssoziologie 37/1/2017, S. 112–132, https://doi.org/10.5281/zenodo.1247916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Das Computer-Grundrecht, Persönlichkeitsschutz unter informationstechnischen Bedingungen, in: Westend, Neue Zeitschrift für Sozialforschung 2/2010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The Force of Code: Law´s Transformation under Information-Technological Conditions, in: German Law Journal 10/4/2009, S. 463–481, http://static1.squarespace.com/static/56330ad3e4b0733dcc0c8495/t/56b82d42746fb90712deac76/1454910787670/GLJ_Vol_10_No_04_Karavas.pdf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Abegg Andreas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, Civil Society Constitutionalism: The Power of Contract Law, in: Indiana Journal of Global Legal Studies 14/2007, S. 235–258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, Rechtsmutation: Zu Genese und Evolution des Rechts im transnationalen Raum, in: Rechtsgeschichte 2006, S. 1–19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Review Essay – Some Remarks on the Constitutionalization of Cyberspace, in: German Law Journal 3/2002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«Doing Things with Words»: Zur performativen Kraft der Rechtssprache am Beispiel der Patentierung biotechnologischer Erfindungen unter Verwendung biologischen Materials menschlichen Ursprungs, in: Hürlimann-Kaup, Bettina/Jungo, Alexandra/Stöckli, Hubert/Emmenegger, Susan/Karuskopf, Frédéric (Hrsg.), Recht Suchen. Liber comitum für Jörg Schmid, Zürich 2024, S. 195–204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Don’t ask, Don’t tell: Zum Stellenwert der informierten Einwilligung im Patentrecht, in: Müller, Karin et al. (Hrsg.), Festschrift "Walter Fellmann", Bern 2021, S. 677–690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Biomedical collective labour: politics, sovereign subjects and empowerment in biobank research, in: Jacob, Marie-Andrée/Kirkland, Anna (Hrsg.), Research handbook on socio-legal studies of medicine and health, Cheltenham / Northampton 2020, S. 361–383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Umstrittene Embryonen: Zur Rechtstellung des Embryos in vitro, in: Saliger, Frank (Hrsg.), Rechtsstaatliches Strafrecht, Festschrift für Ulfrid Neumann zum 70. Geburtstag, Heidelberg 2017, S. 181–198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Das Computer-Grundrecht: Persönlichkeitsschutz unter informationstechnischen Bedingungen, in: Stefan Keller/Stefan Wiprächtiger (Hrsg.), Recht zwischen Dogmatik und Theorie, Marc Amstutz zum 50. Geburtstag, Zürich/St. Gallen 2011, S. 99–112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Governance of Virtual Worlds and the Quest for a Digital Constitution, in: Christoph Beat Graber/Mira Burri-Nenova (Hrsg.), Governance of Digital Game Environments and Cultural Diversity: Transdisciplinary Enquiries, Cheltenham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Grundrechtsschutz im Web 2.0: Ein Beitrag zur Verankerung des Grundrechtsschutzes in einer Epistemologie hybrider Assoziationen zwischen Mensch und Computer, in: Martin Eifert/Thomas Gross (Hrsg.), Das Internet zwischen egalitäter Teilhabe und ökonomischer Vermarktung, Frankfurt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Rechtssoziologie auf Probe: Zum Mehrwert rechtssoziologischer Forschung im Zeitalter der Digitalisierung, in: Jürg-Beat Ackermann/Felix Bommer (Hrsg.), Liber Amicorum, für Dr. Martin Vonplon zum 60. Geburtstag, Zürich 2009, S. 193–202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, Weltrecht: Ein Derridasches Monster, in: Gralf-Peter Calliess/Andreas Fischer-Lescano/Dan Wielsch/Peter Zumbansen (Hrsg.), Soziologische Jurisprudenz, Festschrift für Gunther Teubner zum 65. Geburtstag, Berlin 2009, S. 645–672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Amstutz Marc</w:t>
      </w:r>
      <w:r>
        <w:rPr/>
        <w:t xml:space="preserve">/</w:t>
      </w:r>
      <w:r>
        <w:rPr>
          <w:smallCaps w:val="1"/>
          <w:caps w:val="0"/>
        </w:rPr>
        <w:t xml:space="preserve">Teubner Gunther</w:t>
      </w:r>
      <w:r>
        <w:rPr/>
        <w:t xml:space="preserve">, What is Legal Analysis of Contractual Networks?, in: Marc Amstutz/Gunther Teubner (Hrsg.), Networks: Legal Issues of Multilateral Co-operation, Oxford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Polykontexturales Recht: Eine Einführung, in: Gunther Teubner (Hrsg.), Polykontexturales Recht: Das Verfassungsrecht der Zivilgesellschaft, Athen-Thessaloniki 2005, S. 1–14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Teubner Gunther</w:t>
      </w:r>
      <w:r>
        <w:rPr/>
        <w:t xml:space="preserve">, www.CompanyNameSucks.com: Drittwirkung der Grundrechte gegenüber "Privaten" im autonomen Recht des Internet?, in: Wolfgang-Hoffmann Riem/Karl-Heinz Ladeur (Hrsg.), Innovationsoffene Regulierung des Internets, Baden-Baden 2003, S. 249–272, https://www.jura.uni-frankfurt.de/42828759/companynamesucks.pdf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Kommentar zu Art. 17 HFG, Stämpflis Handkommentar, in: Rütsche, Bernhard (Hrsg.), Humanforschungsgesetz (HFG),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Kommentierung zu Art. 9 HFG, Stämpflis Handkommentar, in: Bernhard Rütsche (Hrsg.), Humanforschungsgesetz (HFG), Bern 2015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Vagias Karavas</w:t>
      </w:r>
      <w:r>
        <w:rPr/>
        <w:t xml:space="preserve">/</w:t>
      </w:r>
      <w:r>
        <w:rPr>
          <w:smallCaps w:val="1"/>
          <w:caps w:val="0"/>
        </w:rPr>
        <w:t xml:space="preserve">Malte Gruber</w:t>
      </w:r>
      <w:r>
        <w:rPr/>
        <w:t xml:space="preserve">/</w:t>
      </w:r>
      <w:r>
        <w:rPr>
          <w:smallCaps w:val="1"/>
          <w:caps w:val="0"/>
        </w:rPr>
        <w:t xml:space="preserve">Gunther Teubner</w:t>
      </w:r>
      <w:r>
        <w:rPr/>
        <w:t xml:space="preserve"> (Hrsg.), Society’s Constitutions, Berlin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Karavas Vagias</w:t>
      </w:r>
      <w:r>
        <w:rPr/>
        <w:t xml:space="preserve">, Die Standardisierungsprozesse in der EG und in der Bundesrepublik Deutschland als Netzwerk privater-öffentlicher Akteure, Masterarbeit, Fachbereich Rechtswissenschaft der Johann Wolfgang Goethe-Universität, Deutschland 1999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Lang Alexander</w:t>
      </w:r>
      <w:r>
        <w:rPr/>
        <w:t xml:space="preserve">/</w:t>
      </w:r>
      <w:r>
        <w:rPr>
          <w:smallCaps w:val="1"/>
          <w:caps w:val="0"/>
        </w:rPr>
        <w:t xml:space="preserve">Gschmeidler Brigitte</w:t>
      </w:r>
      <w:r>
        <w:rPr/>
        <w:t xml:space="preserve">/</w:t>
      </w:r>
      <w:r>
        <w:rPr>
          <w:smallCaps w:val="1"/>
          <w:caps w:val="0"/>
        </w:rPr>
        <w:t xml:space="preserve">Gruber Malte-Christian</w:t>
      </w:r>
      <w:r>
        <w:rPr/>
        <w:t xml:space="preserve">/</w:t>
      </w:r>
      <w:r>
        <w:rPr>
          <w:smallCaps w:val="1"/>
          <w:caps w:val="0"/>
        </w:rPr>
        <w:t xml:space="preserve">Wuketich Milena</w:t>
      </w:r>
      <w:r>
        <w:rPr/>
        <w:t xml:space="preserve">/</w:t>
      </w:r>
      <w:r>
        <w:rPr>
          <w:smallCaps w:val="1"/>
          <w:caps w:val="0"/>
        </w:rPr>
        <w:t xml:space="preserve">Kinz Elena</w:t>
      </w:r>
      <w:r>
        <w:rPr/>
        <w:t xml:space="preserve">/</w:t>
      </w:r>
      <w:r>
        <w:rPr>
          <w:smallCaps w:val="1"/>
          <w:caps w:val="0"/>
        </w:rPr>
        <w:t xml:space="preserve">Karavas Vagias</w:t>
      </w:r>
      <w:r>
        <w:rPr/>
        <w:t xml:space="preserve">/</w:t>
      </w:r>
      <w:r>
        <w:rPr>
          <w:smallCaps w:val="1"/>
          <w:caps w:val="0"/>
        </w:rPr>
        <w:t xml:space="preserve">Winkler Florian</w:t>
      </w:r>
      <w:r>
        <w:rPr/>
        <w:t xml:space="preserve">/</w:t>
      </w:r>
      <w:r>
        <w:rPr>
          <w:smallCaps w:val="1"/>
          <w:caps w:val="0"/>
        </w:rPr>
        <w:t xml:space="preserve">Schumann Simone</w:t>
      </w:r>
      <w:r>
        <w:rPr/>
        <w:t xml:space="preserve">/</w:t>
      </w:r>
      <w:r>
        <w:rPr>
          <w:smallCaps w:val="1"/>
          <w:caps w:val="0"/>
        </w:rPr>
        <w:t xml:space="preserve">Burri Nina Leonie</w:t>
      </w:r>
      <w:r>
        <w:rPr/>
        <w:t xml:space="preserve">/</w:t>
      </w:r>
      <w:r>
        <w:rPr>
          <w:smallCaps w:val="1"/>
          <w:caps w:val="0"/>
        </w:rPr>
        <w:t xml:space="preserve">Griessler Erich</w:t>
      </w:r>
      <w:r>
        <w:rPr/>
        <w:t xml:space="preserve">/</w:t>
      </w:r>
      <w:r>
        <w:rPr>
          <w:smallCaps w:val="1"/>
          <w:caps w:val="0"/>
        </w:rPr>
        <w:t xml:space="preserve">Gruber Malte</w:t>
      </w:r>
      <w:r>
        <w:rPr/>
        <w:t xml:space="preserve">, Neue Anwendungen der DNA-Analyse: Chancen und Risiken, Interdisziplinäre Technikfolgenabschätzung, TA-SWISS Publikationsreihe, 74, Zürich 01.08.2020, https://doi.org/10.5281/zenodo.4474472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Vagias Karavas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Vagias Karavas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