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Tanja Coskun-Ivanovic</w:t>
      </w:r>
    </w:p>
    <w:p>
      <w:pPr>
        <w:spacing w:after="240" w:line="240" w:lineRule="atLeast"/>
      </w:pPr>
      <w:r>
        <w:t xml:space="preserve">ORCID: 0009-0008-3107-2871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Fortsetzungsfamilien im Recht - Recht auf Fortsetzung der Familie? Darstellung de lege lata und Vorschläge de lege ferenda, Zürich/St. Gallen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Die "Obhut" - Familien(unterhalts)rechtliche Notwendigkeit oder verzichtbares Recht?, in: FamPra 2026, S. 21–51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Die Zahlvaterschaft - die langen Schatten der Vergangenheit, in: AJP 5/2025, S. 464–484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/</w:t>
      </w:r>
      <w:r>
        <w:rPr>
          <w:smallCaps w:val="1"/>
          <w:caps w:val="0"/>
        </w:rPr>
        <w:t xml:space="preserve">Maier Philipp</w:t>
      </w:r>
      <w:r>
        <w:rPr/>
        <w:t xml:space="preserve">, Unterhaltsfestsetzung in Fortsetzungsfamilien - ein Leitfaden für die Praxis, in: FamPRA.ch 2/2025, S. 308–343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Coskun-Ivanovic Tanja</w:t>
      </w:r>
      <w:r>
        <w:rPr/>
        <w:t xml:space="preserve">, Kindesunterhalt im Umbruch: Reformbedarf und Zukunftsperspektiven, in: FamPra 4/2025, S. 863–887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Der ärztliche Behandlungsvertrag betreffend das urteilsunfähige Kind – mit dem urteilsunfähigen Kind?, in: ZBJV 11/2024, S. 559–582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Unterhaltsrecht in Fortsetzungsfamilien, in: FamPra 4/2023, S. 847–872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Zwangsernährung – gestützt worauf?, in: Zeitschrift für Kindes- und Erwachsenenschutz ZKE 04/2023, S. 314 ff.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Betreuungsunterhalt zu Lasten des rechtlichen Stiefelters? Erläuterung und Würdigung des Bundesgerichtsentscheids BGer 5A_382/2021 vom 20. April 2022, in: Jusletter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Die Sorgfalt der Medizinalpersonen nach Art. 40 lit. a MedBG: Generalklausel und Konkretisierung, in: ZBJV 2/2021, S. 126–140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Coskun-Ivanovic Tanja</w:t>
      </w:r>
      <w:r>
        <w:rPr/>
        <w:t xml:space="preserve">, Der Steueranteil im Barunterhalt, in: Jusletter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Ivanovic Tanja</w:t>
      </w:r>
      <w:r>
        <w:rPr/>
        <w:t xml:space="preserve">, Coronavirus SARS-CoV-2: Klärung familienrechtlicher Fragen, in: Jusletter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Gericke Dieter</w:t>
      </w:r>
      <w:r>
        <w:rPr/>
        <w:t xml:space="preserve">/</w:t>
      </w:r>
      <w:r>
        <w:rPr>
          <w:smallCaps w:val="1"/>
          <w:caps w:val="0"/>
        </w:rPr>
        <w:t xml:space="preserve">Ivanovic Tanja</w:t>
      </w:r>
      <w:r>
        <w:rPr/>
        <w:t xml:space="preserve">, Genügen PDF-Dateien dem Schriftformerfordernis?, in: SJZ 14/2017, S. 335–341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Maier Philipp</w:t>
      </w:r>
      <w:r>
        <w:rPr/>
        <w:t xml:space="preserve">/</w:t>
      </w:r>
      <w:r>
        <w:rPr>
          <w:smallCaps w:val="1"/>
          <w:caps w:val="0"/>
        </w:rPr>
        <w:t xml:space="preserve">Coskun-Ivanovic Tanja</w:t>
      </w:r>
      <w:r>
        <w:rPr/>
        <w:t xml:space="preserve">, Materiellrechtliche und prozessuale Herausforderungen bei der Unterhaltsberechnung in Fortsetzungsfamilien, in: Schwenzer, Ingeborg/Büchler, Andrea, Cottier, Michelle (Hrsg.), Elfte Schweizer Familienrecht§Tage, 5./6. September 2024 in Basel, Bern 2025, S. 183 ff.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Ivanovic Tanja</w:t>
      </w:r>
      <w:r>
        <w:rPr/>
        <w:t xml:space="preserve">, Die Berichterstattung über aus dem Strafregister entfernte Urteile im Lichte des Persönlichkeitsschutzes des Täters, in: Staub, Leo (Hrsg.), Beiträge zu aktuellen Themen an der Schnittstelle zwischen Recht und Betriebswirtschaft, Zürich 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Ivanovic Tanja</w:t>
      </w:r>
      <w:r>
        <w:rPr/>
        <w:t xml:space="preserve">, Die ausländerrechtliche Administrativhaft – Kritik und Alternativen, humanrights.ch 07.10.2020, https://www.humanrights.ch/de/ipf/menschenrechte/migration-asyl/administrativhaft-kritik-alternativen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Tanja Coskun-Ivanovic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Tanja Coskun-Ivanovic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