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MLaw Sofie Isler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Beitrag in einem Kommentar</w:t>
      </w:r>
    </w:p>
    <w:p>
      <w:pPr>
        <w:spacing w:after="240" w:line="240" w:lineRule="atLeast"/>
      </w:pPr>
      <w:r>
        <w:rPr/>
        <w:t xml:space="preserve">Isler, S., &amp; Caroni, M. (2024). Art. 27 AIG - Aus- und Weiterbildung. In Caroni, Martina &amp; Thurnherr, Daniela (Hrsg.), </w:t>
      </w:r>
      <w:r>
        <w:rPr>
          <w:i w:val="1"/>
          <w:iCs w:val="1"/>
        </w:rPr>
        <w:t xml:space="preserve">Ausländer- und Integrationsgesetz (AIG)</w:t>
      </w:r>
      <w:r>
        <w:rPr/>
        <w:t xml:space="preserve"> (2. Auflage, S. 293–308). Bern: Stämpfli Verlag AG.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MLaw Sofie Isler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MLaw Sofie Isler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