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Simon Thoma</w:t>
      </w:r>
    </w:p>
    <w:p>
      <w:pPr>
        <w:spacing w:after="240" w:line="240" w:lineRule="atLeast"/>
      </w:pPr>
      <w:r>
        <w:t xml:space="preserve">ORCID: 0009-0009-5792-104X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Thoma Simon</w:t>
      </w:r>
      <w:r>
        <w:rPr/>
        <w:t xml:space="preserve">/</w:t>
      </w:r>
      <w:r>
        <w:rPr>
          <w:smallCaps w:val="1"/>
          <w:caps w:val="0"/>
        </w:rPr>
        <w:t xml:space="preserve">Steffen Paloma</w:t>
      </w:r>
      <w:r>
        <w:rPr/>
        <w:t xml:space="preserve">, Reparaturindizes im Rechtsvergleich, Luzerner Beiträge zur Rechtswissenschaft (LBR), in: Thoma, Simon/Fanger, Julian (Hrsg.), Recht und Nachhaltigkeit, Junge Rechtswissenschaft Luzern, Bd. 191, Zürich/Genf 2026, S. 121–156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Thoma Simon</w:t>
      </w:r>
      <w:r>
        <w:rPr/>
        <w:t xml:space="preserve">/</w:t>
      </w:r>
      <w:r>
        <w:rPr>
          <w:smallCaps w:val="1"/>
          <w:caps w:val="0"/>
        </w:rPr>
        <w:t xml:space="preserve">Bommer Franca</w:t>
      </w:r>
      <w:r>
        <w:rPr/>
        <w:t xml:space="preserve">, Staatshaftungsansprüche bei aktiven Umweltinformationen, Luzerner Beiträge zur Rechtswissenschaft (LBR), in: Thoma, Simon/Fanger, Julian (Hrsg.), Recht und Nachhaltigkeit, Junge Rechtswissenschaft Luzern, Bd. 191, Zürich/Genf 2026, S. 89–120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Heselhaus Sebastian</w:t>
      </w:r>
      <w:r>
        <w:rPr/>
        <w:t xml:space="preserve">/</w:t>
      </w:r>
      <w:r>
        <w:rPr>
          <w:smallCaps w:val="1"/>
          <w:caps w:val="0"/>
        </w:rPr>
        <w:t xml:space="preserve">Thoma Simon</w:t>
      </w:r>
      <w:r>
        <w:rPr/>
        <w:t xml:space="preserve">, Aktuelle Entwicklungen im Europäischen Energierecht, in: Epiney, Astrid/Progin-Theuerkauf, Sarah/Dahinden, Flaminia/Dukarm, Sophie (Hrsg.), Schweizerisches Jahrbuch für Europarecht 2024/2025, Zürich/Bern 2025, S. 141–164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Heselhaus Sebastian</w:t>
      </w:r>
      <w:r>
        <w:rPr/>
        <w:t xml:space="preserve">/</w:t>
      </w:r>
      <w:r>
        <w:rPr>
          <w:smallCaps w:val="1"/>
          <w:caps w:val="0"/>
        </w:rPr>
        <w:t xml:space="preserve">Thoma Simon</w:t>
      </w:r>
      <w:r>
        <w:rPr/>
        <w:t xml:space="preserve">, Aktuelle Entwicklungen im Europäischen Energierecht, in: Epiney, Astrid/Progin-Theuerkauf, Sarah/Dahinden, Flaminia/Dukarm, Sophie (Hrsg.), Schweizerisches Jahrbuch für Europarecht 2023/2024, Zürich/Genf 2024, S. 185–209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Thoma Simon</w:t>
      </w:r>
      <w:r>
        <w:rPr/>
        <w:t xml:space="preserve">/</w:t>
      </w:r>
      <w:r>
        <w:rPr>
          <w:smallCaps w:val="1"/>
          <w:caps w:val="0"/>
        </w:rPr>
        <w:t xml:space="preserve">Fanger Julian</w:t>
      </w:r>
      <w:r>
        <w:rPr/>
        <w:t xml:space="preserve"> (Hrsg.), Recht und Nachhaltigkeit, Junge Rechtswissenschaft Luzern, Luzerner Beiträge zur Rechtswissenschaft (LBR), Bd. 191, Zürich/Genf 2026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Simon Thoma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Simon Thoma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