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Sebastian Heselhaus</w:t>
      </w:r>
    </w:p>
    <w:p>
      <w:pPr>
        <w:spacing w:after="240" w:line="240" w:lineRule="atLeast"/>
      </w:pPr>
      <w:r>
        <w:t xml:space="preserve">ORCID: 0009-0001-7010-0897</w:t>
      </w:r>
    </w:p>
    <w:p>
      <w:pPr>
        <w:spacing w:after="240" w:line="240" w:lineRule="atLeast"/>
        <w:rPr>
          <w:b/>
          <w:bCs/>
        </w:rPr>
      </w:pPr>
      <w:r>
        <w:rPr>
          <w:b/>
          <w:bCs/>
        </w:rPr>
        <w:t xml:space="preserve">Buch als Monografie</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w:t>
      </w:r>
      <w:r>
        <w:rPr>
          <w:smallCaps w:val="1"/>
          <w:caps w:val="0"/>
        </w:rPr>
        <w:t xml:space="preserve">Hofmann Ekkehard</w:t>
      </w:r>
      <w:r>
        <w:rPr/>
        <w:t xml:space="preserve">, Allgemeines Verwaltungsrecht, 4. Auflage, München 2023</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 Allgemeines Verwaltungsrecht, 3. völlig überarbeitete Auflage, München/Unterschleissheim 2003</w:t>
      </w:r>
    </w:p>
    <w:p>
      <w:pPr>
        <w:spacing w:after="240" w:line="240" w:lineRule="atLeast"/>
      </w:pPr>
      <w:r>
        <w:rPr>
          <w:smallCaps w:val="1"/>
          <w:caps w:val="0"/>
        </w:rPr>
        <w:t xml:space="preserve">Heselhaus Sebastian</w:t>
      </w:r>
      <w:r>
        <w:rPr/>
        <w:t xml:space="preserve">, Abgabenhoheit der Europäischen Gemeinschaft in der Umweltpolitik - eine Untersuchung unter besonderer Berücksichtigung der Möglichkeiten und Grenzen einer Ertragshoheit, Berlin 2001</w:t>
      </w:r>
    </w:p>
    <w:p>
      <w:pPr>
        <w:spacing w:after="240" w:line="240" w:lineRule="atLeast"/>
        <w:rPr>
          <w:b/>
          <w:bCs/>
        </w:rPr>
      </w:pPr>
      <w:r>
        <w:rPr>
          <w:b/>
          <w:bCs/>
        </w:rPr>
        <w:t xml:space="preserve">Zeitschriftenartikel</w:t>
      </w:r>
    </w:p>
    <w:p>
      <w:pPr>
        <w:spacing w:after="240" w:line="240" w:lineRule="atLeast"/>
      </w:pPr>
      <w:r>
        <w:rPr>
          <w:smallCaps w:val="1"/>
          <w:caps w:val="0"/>
        </w:rPr>
        <w:t xml:space="preserve">Heselhaus Sebastian</w:t>
      </w:r>
      <w:r>
        <w:rPr/>
        <w:t xml:space="preserve">, Europa-Fenster, in: Umweltrecht in der Praxis URP 3/2026, S. 321–338</w:t>
      </w:r>
    </w:p>
    <w:p>
      <w:pPr>
        <w:spacing w:after="240" w:line="240" w:lineRule="atLeast"/>
      </w:pPr>
      <w:r>
        <w:rPr>
          <w:smallCaps w:val="1"/>
          <w:caps w:val="0"/>
        </w:rPr>
        <w:t xml:space="preserve">Heselhaus Sebastian</w:t>
      </w:r>
      <w:r>
        <w:rPr/>
        <w:t xml:space="preserve">, Europa-Fenster, in: Umweltrecht in der Praxis URP 2/2026, S. 206–217</w:t>
      </w:r>
    </w:p>
    <w:p>
      <w:pPr>
        <w:spacing w:after="240" w:line="240" w:lineRule="atLeast"/>
      </w:pPr>
      <w:r>
        <w:rPr>
          <w:smallCaps w:val="1"/>
          <w:caps w:val="0"/>
        </w:rPr>
        <w:t xml:space="preserve">Heselhaus Sebastian</w:t>
      </w:r>
      <w:r>
        <w:rPr/>
        <w:t xml:space="preserve">, Europa-Fenster, in: Umweltrecht in der Praxis URP 6/2025, S. 743–757</w:t>
      </w:r>
    </w:p>
    <w:p>
      <w:pPr>
        <w:spacing w:after="240" w:line="240" w:lineRule="atLeast"/>
      </w:pPr>
      <w:r>
        <w:rPr>
          <w:smallCaps w:val="1"/>
          <w:caps w:val="0"/>
        </w:rPr>
        <w:t xml:space="preserve">Heselhaus Sebastian</w:t>
      </w:r>
      <w:r>
        <w:rPr/>
        <w:t xml:space="preserve">, Europa-Fenster, in: Umweltrecht in der Praxis URP 5/2025, S. 623–638</w:t>
      </w:r>
    </w:p>
    <w:p>
      <w:pPr>
        <w:spacing w:after="240" w:line="240" w:lineRule="atLeast"/>
      </w:pPr>
      <w:r>
        <w:rPr>
          <w:smallCaps w:val="1"/>
          <w:caps w:val="0"/>
        </w:rPr>
        <w:t xml:space="preserve">Heselhaus Sebastian</w:t>
      </w:r>
      <w:r>
        <w:rPr/>
        <w:t xml:space="preserve">, Europa-Fenster, in: Umweltrecht in der Praxis URP 4/2025, S. 518–535</w:t>
      </w:r>
    </w:p>
    <w:p>
      <w:pPr>
        <w:spacing w:after="240" w:line="240" w:lineRule="atLeast"/>
      </w:pPr>
      <w:r>
        <w:rPr>
          <w:smallCaps w:val="1"/>
          <w:caps w:val="0"/>
        </w:rPr>
        <w:t xml:space="preserve">Heselhaus Sebastian</w:t>
      </w:r>
      <w:r>
        <w:rPr/>
        <w:t xml:space="preserve">, Europa-Fenster, in: Umweltrecht in der Praxis URP 3/2025, S. 370–377</w:t>
      </w:r>
    </w:p>
    <w:p>
      <w:pPr>
        <w:spacing w:after="240" w:line="240" w:lineRule="atLeast"/>
      </w:pPr>
      <w:r>
        <w:rPr>
          <w:smallCaps w:val="1"/>
          <w:caps w:val="0"/>
        </w:rPr>
        <w:t xml:space="preserve">Heselhaus Sebastian</w:t>
      </w:r>
      <w:r>
        <w:rPr/>
        <w:t xml:space="preserve">, Europa-Fenster, in: Umweltrecht in der Praxis URP 2/2025, S. 224–239</w:t>
      </w:r>
    </w:p>
    <w:p>
      <w:pPr>
        <w:spacing w:after="240" w:line="240" w:lineRule="atLeast"/>
      </w:pPr>
      <w:r>
        <w:rPr>
          <w:smallCaps w:val="1"/>
          <w:caps w:val="0"/>
        </w:rPr>
        <w:t xml:space="preserve">Heselhaus Sebastian</w:t>
      </w:r>
      <w:r>
        <w:rPr/>
        <w:t xml:space="preserve">, Europa-Fenster, in: Umweltrecht in der Praxis URP 6/2024, S. 661–678</w:t>
      </w:r>
    </w:p>
    <w:p>
      <w:pPr>
        <w:spacing w:after="240" w:line="240" w:lineRule="atLeast"/>
      </w:pPr>
      <w:r>
        <w:rPr>
          <w:smallCaps w:val="1"/>
          <w:caps w:val="0"/>
        </w:rPr>
        <w:t xml:space="preserve">Heselhaus Sebastian</w:t>
      </w:r>
      <w:r>
        <w:rPr/>
        <w:t xml:space="preserve">, Europa-Fenster, in: Umweltrecht in der Praxis URP 4/2024, S. 442–463</w:t>
      </w:r>
    </w:p>
    <w:p>
      <w:pPr>
        <w:spacing w:after="240" w:line="240" w:lineRule="atLeast"/>
      </w:pPr>
      <w:r>
        <w:rPr>
          <w:smallCaps w:val="1"/>
          <w:caps w:val="0"/>
        </w:rPr>
        <w:t xml:space="preserve">Heselhaus Sebastian</w:t>
      </w:r>
      <w:r>
        <w:rPr/>
        <w:t xml:space="preserve">, Literatur zum internationalen ausländischen Umweltrecht, in: Umweltrecht in der Praxis URP 4/2024, S. 470–472</w:t>
      </w:r>
    </w:p>
    <w:p>
      <w:pPr>
        <w:spacing w:after="240" w:line="240" w:lineRule="atLeast"/>
      </w:pPr>
      <w:r>
        <w:rPr>
          <w:smallCaps w:val="1"/>
          <w:caps w:val="0"/>
        </w:rPr>
        <w:t xml:space="preserve">Heselhaus Sebastian</w:t>
      </w:r>
      <w:r>
        <w:rPr/>
        <w:t xml:space="preserve">, Europa-Fenster, in: Umweltrecht in der Praxis URP 3/2024, S. 305–323</w:t>
      </w:r>
    </w:p>
    <w:p>
      <w:pPr>
        <w:spacing w:after="240" w:line="240" w:lineRule="atLeast"/>
      </w:pPr>
      <w:r>
        <w:rPr>
          <w:smallCaps w:val="1"/>
          <w:caps w:val="0"/>
        </w:rPr>
        <w:t xml:space="preserve">Heselhaus Sebastian</w:t>
      </w:r>
      <w:r>
        <w:rPr/>
        <w:t xml:space="preserve">, Literatur zum internationalen ausländischen Umweltrecht, in: Umweltrecht in der Praxis URP 3/2024, S. 330–331</w:t>
      </w:r>
    </w:p>
    <w:p>
      <w:pPr>
        <w:spacing w:after="240" w:line="240" w:lineRule="atLeast"/>
      </w:pPr>
      <w:r>
        <w:rPr>
          <w:smallCaps w:val="1"/>
          <w:caps w:val="0"/>
        </w:rPr>
        <w:t xml:space="preserve">Heselhaus Sebastian</w:t>
      </w:r>
      <w:r>
        <w:rPr/>
        <w:t xml:space="preserve">, Europa-Fenster, in: Umweltrecht in der Praxis URP 1/2024, S. 92–108</w:t>
      </w:r>
    </w:p>
    <w:p>
      <w:pPr>
        <w:spacing w:after="240" w:line="240" w:lineRule="atLeast"/>
      </w:pPr>
      <w:r>
        <w:rPr>
          <w:smallCaps w:val="1"/>
          <w:caps w:val="0"/>
        </w:rPr>
        <w:t xml:space="preserve">Heselhaus Sebastian</w:t>
      </w:r>
      <w:r>
        <w:rPr/>
        <w:t xml:space="preserve">, Europa-Fenster, in: Umweltrecht in der Praxis URP 1/2024, S. 4–31</w:t>
      </w:r>
    </w:p>
    <w:p>
      <w:pPr>
        <w:spacing w:after="240" w:line="240" w:lineRule="atLeast"/>
      </w:pPr>
      <w:r>
        <w:rPr>
          <w:smallCaps w:val="1"/>
          <w:caps w:val="0"/>
        </w:rPr>
        <w:t xml:space="preserve">Heselhaus Sebastian</w:t>
      </w:r>
      <w:r>
        <w:rPr/>
        <w:t xml:space="preserve">, Literatur zum internationalen ausländischen Umweltrecht, in: Umweltrecht in der Praxis URP 1/2024, S. 114–116</w:t>
      </w:r>
    </w:p>
    <w:p>
      <w:pPr>
        <w:spacing w:after="240" w:line="240" w:lineRule="atLeast"/>
      </w:pPr>
      <w:r>
        <w:rPr>
          <w:smallCaps w:val="1"/>
          <w:caps w:val="0"/>
        </w:rPr>
        <w:t xml:space="preserve">Heselhaus Sebastian</w:t>
      </w:r>
      <w:r>
        <w:rPr/>
        <w:t xml:space="preserve">, Unternehmerische Sorgfaltspflichten - Die Entwicklungen in Europa und dem grössten Nachbarland Deutschland, in: Umweltrecht in der Praxis URP 2024, S. 4–31</w:t>
      </w:r>
    </w:p>
    <w:p>
      <w:pPr>
        <w:spacing w:after="240" w:line="240" w:lineRule="atLeast"/>
      </w:pPr>
      <w:r>
        <w:rPr>
          <w:smallCaps w:val="1"/>
          <w:caps w:val="0"/>
        </w:rPr>
        <w:t xml:space="preserve">Heselhaus Sebastian</w:t>
      </w:r>
      <w:r>
        <w:rPr/>
        <w:t xml:space="preserve">, Europa-Fenster, in: Umweltrecht in der Praxis URP 8/2023, S. 863–878</w:t>
      </w:r>
    </w:p>
    <w:p>
      <w:pPr>
        <w:spacing w:after="240" w:line="240" w:lineRule="atLeast"/>
      </w:pPr>
      <w:r>
        <w:rPr>
          <w:smallCaps w:val="1"/>
          <w:caps w:val="0"/>
        </w:rPr>
        <w:t xml:space="preserve">Heselhaus Sebastian</w:t>
      </w:r>
      <w:r>
        <w:rPr/>
        <w:t xml:space="preserve">, Literatur zum internationalen ausländischen Umweltrecht, in: Umweltrecht in der Praxis URP 8/2023, S. 470–472</w:t>
      </w:r>
    </w:p>
    <w:p>
      <w:pPr>
        <w:spacing w:after="240" w:line="240" w:lineRule="atLeast"/>
      </w:pPr>
      <w:r>
        <w:rPr>
          <w:smallCaps w:val="1"/>
          <w:caps w:val="0"/>
        </w:rPr>
        <w:t xml:space="preserve">Heselhaus Sebastian</w:t>
      </w:r>
      <w:r>
        <w:rPr/>
        <w:t xml:space="preserve">, Europa-Fenster, in: Umweltrecht in der Praxis URP 5/2023, S. 549–570</w:t>
      </w:r>
    </w:p>
    <w:p>
      <w:pPr>
        <w:spacing w:after="240" w:line="240" w:lineRule="atLeast"/>
      </w:pPr>
      <w:r>
        <w:rPr>
          <w:smallCaps w:val="1"/>
          <w:caps w:val="0"/>
        </w:rPr>
        <w:t xml:space="preserve">Heselhaus Sebastian</w:t>
      </w:r>
      <w:r>
        <w:rPr/>
        <w:t xml:space="preserve">, Europa-Fenster, in: Umweltrecht in der Praxis URP 3/2023, S. 308–332</w:t>
      </w:r>
    </w:p>
    <w:p>
      <w:pPr>
        <w:spacing w:after="240" w:line="240" w:lineRule="atLeast"/>
      </w:pPr>
      <w:r>
        <w:rPr>
          <w:smallCaps w:val="1"/>
          <w:caps w:val="0"/>
        </w:rPr>
        <w:t xml:space="preserve">Heselhaus Sebastian</w:t>
      </w:r>
      <w:r>
        <w:rPr/>
        <w:t xml:space="preserve">, Euopa-Fenster, in: Umweltrecht in der Praxis URP 1/2023, S. 78–101</w:t>
      </w:r>
    </w:p>
    <w:p>
      <w:pPr>
        <w:spacing w:after="240" w:line="240" w:lineRule="atLeast"/>
      </w:pPr>
      <w:r>
        <w:rPr>
          <w:smallCaps w:val="1"/>
          <w:caps w:val="0"/>
        </w:rPr>
        <w:t xml:space="preserve">Heselhaus Sebastian</w:t>
      </w:r>
      <w:r>
        <w:rPr/>
        <w:t xml:space="preserve">, Europa-Fenster, in: Umweltrecht in der Praxis URP 6/2022, S. 674–694</w:t>
      </w:r>
    </w:p>
    <w:p>
      <w:pPr>
        <w:spacing w:after="240" w:line="240" w:lineRule="atLeast"/>
      </w:pPr>
      <w:r>
        <w:rPr>
          <w:smallCaps w:val="1"/>
          <w:caps w:val="0"/>
        </w:rPr>
        <w:t xml:space="preserve">Heselhaus Sebastian</w:t>
      </w:r>
      <w:r>
        <w:rPr/>
        <w:t xml:space="preserve">, Aktuelle Spielräume für ein Institutionelles Rahmenabkommen, in: Europa Zeitschrift Digital (EuZ-Digital) 5/2022, S. 1–30</w:t>
      </w:r>
    </w:p>
    <w:p>
      <w:pPr>
        <w:spacing w:after="240" w:line="240" w:lineRule="atLeast"/>
      </w:pPr>
      <w:r>
        <w:rPr>
          <w:smallCaps w:val="1"/>
          <w:caps w:val="0"/>
        </w:rPr>
        <w:t xml:space="preserve">Heselhaus Sebastian</w:t>
      </w:r>
      <w:r>
        <w:rPr/>
        <w:t xml:space="preserve">, Europa-Fenster, in: Umweltrecht in der Praxis URP 4/2022, S. 454–474</w:t>
      </w:r>
    </w:p>
    <w:p>
      <w:pPr>
        <w:spacing w:after="240" w:line="240" w:lineRule="atLeast"/>
      </w:pPr>
      <w:r>
        <w:rPr>
          <w:smallCaps w:val="1"/>
          <w:caps w:val="0"/>
        </w:rPr>
        <w:t xml:space="preserve">Heselhaus Sebastian</w:t>
      </w:r>
      <w:r>
        <w:rPr/>
        <w:t xml:space="preserve">, Europa-Fenster, in: Umweltrecht in der Praxis URP 3/2022, S. 328–346</w:t>
      </w:r>
    </w:p>
    <w:p>
      <w:pPr>
        <w:spacing w:after="240" w:line="240" w:lineRule="atLeast"/>
      </w:pPr>
      <w:r>
        <w:rPr>
          <w:smallCaps w:val="1"/>
          <w:caps w:val="0"/>
        </w:rPr>
        <w:t xml:space="preserve">Heselhaus Sebastian</w:t>
      </w:r>
      <w:r>
        <w:rPr/>
        <w:t xml:space="preserve">, Europa-Fenster, in: Umweltrecht in der Praxis URP 8/2021, S. 862–878</w:t>
      </w:r>
    </w:p>
    <w:p>
      <w:pPr>
        <w:spacing w:after="240" w:line="240" w:lineRule="atLeast"/>
      </w:pPr>
      <w:r>
        <w:rPr>
          <w:smallCaps w:val="1"/>
          <w:caps w:val="0"/>
        </w:rPr>
        <w:t xml:space="preserve">Heselhaus Sebastian</w:t>
      </w:r>
      <w:r>
        <w:rPr/>
        <w:t xml:space="preserve">, Europa-Fenster, in: Umweltrecht in der Praxis URP 6/2021, S. 638–655</w:t>
      </w:r>
    </w:p>
    <w:p>
      <w:pPr>
        <w:spacing w:after="240" w:line="240" w:lineRule="atLeast"/>
      </w:pPr>
      <w:r>
        <w:rPr>
          <w:smallCaps w:val="1"/>
          <w:caps w:val="0"/>
        </w:rPr>
        <w:t xml:space="preserve">Heselhaus Sebastian</w:t>
      </w:r>
      <w:r>
        <w:rPr/>
        <w:t xml:space="preserve">, Europa-Fenster, in: Umweltrecht in der Praxis URP 5/2021, S. 523–543</w:t>
      </w:r>
    </w:p>
    <w:p>
      <w:pPr>
        <w:spacing w:after="240" w:line="240" w:lineRule="atLeast"/>
      </w:pPr>
      <w:r>
        <w:rPr>
          <w:smallCaps w:val="1"/>
          <w:caps w:val="0"/>
        </w:rPr>
        <w:t xml:space="preserve">Heselhaus Sebastian</w:t>
      </w:r>
      <w:r>
        <w:rPr/>
        <w:t xml:space="preserve">, Europa-Fenster, in: Umweltrecht in der Praxis URP 4/2021, S. 674–694</w:t>
      </w:r>
    </w:p>
    <w:p>
      <w:pPr>
        <w:spacing w:after="240" w:line="240" w:lineRule="atLeast"/>
      </w:pPr>
      <w:r>
        <w:rPr>
          <w:smallCaps w:val="1"/>
          <w:caps w:val="0"/>
        </w:rPr>
        <w:t xml:space="preserve">Heselhaus Sebastian</w:t>
      </w:r>
      <w:r>
        <w:rPr/>
        <w:t xml:space="preserve">, Europa-Fenster, in: Umweltrecht in der Praxis URP 3/2021, S. 290–315</w:t>
      </w:r>
    </w:p>
    <w:p>
      <w:pPr>
        <w:spacing w:after="240" w:line="240" w:lineRule="atLeast"/>
      </w:pPr>
      <w:r>
        <w:rPr>
          <w:smallCaps w:val="1"/>
          <w:caps w:val="0"/>
        </w:rPr>
        <w:t xml:space="preserve">Heselhaus Sebastian</w:t>
      </w:r>
      <w:r>
        <w:rPr/>
        <w:t xml:space="preserve">, Der European Green Deal: "Political Sector Coupling" auf dem Weg zur nachhaltigen Kreislaufwirtschaft, in: Nachhaltigkeitsrecht, Zeitschrift für das Recht der nachhaltigen Entwicklung 2/2021, S. 155–168</w:t>
      </w:r>
    </w:p>
    <w:p>
      <w:pPr>
        <w:spacing w:after="240" w:line="240" w:lineRule="atLeast"/>
      </w:pPr>
      <w:r>
        <w:rPr>
          <w:smallCaps w:val="1"/>
          <w:caps w:val="0"/>
        </w:rPr>
        <w:t xml:space="preserve">Heselhaus Sebastian</w:t>
      </w:r>
      <w:r>
        <w:rPr/>
        <w:t xml:space="preserve">, Ein Rahmen für Geschäfte in Europa, in: zentralinfo, Industrie- und Handelskammer Zentralschweiz IHZ 2021, S. 14–15</w:t>
      </w:r>
    </w:p>
    <w:p>
      <w:pPr>
        <w:spacing w:after="240" w:line="240" w:lineRule="atLeast"/>
      </w:pPr>
      <w:r>
        <w:rPr>
          <w:smallCaps w:val="1"/>
          <w:caps w:val="0"/>
        </w:rPr>
        <w:t xml:space="preserve">Heselhaus Sebastian</w:t>
      </w:r>
      <w:r>
        <w:rPr/>
        <w:t xml:space="preserve">, Europa-Fenster, in: Umweltrecht in der Praxis URP 8/2020, S. 849–863</w:t>
      </w:r>
    </w:p>
    <w:p>
      <w:pPr>
        <w:spacing w:after="240" w:line="240" w:lineRule="atLeast"/>
      </w:pPr>
      <w:r>
        <w:rPr>
          <w:smallCaps w:val="1"/>
          <w:caps w:val="0"/>
        </w:rPr>
        <w:t xml:space="preserve">Heselhaus Sebastian</w:t>
      </w:r>
      <w:r>
        <w:rPr/>
        <w:t xml:space="preserve">, Europa-Fenster, in: Umweltrecht in der Praxis URP 7/2020, S. 767–788</w:t>
      </w:r>
    </w:p>
    <w:p>
      <w:pPr>
        <w:spacing w:after="240" w:line="240" w:lineRule="atLeast"/>
      </w:pPr>
      <w:r>
        <w:rPr>
          <w:smallCaps w:val="1"/>
          <w:caps w:val="0"/>
        </w:rPr>
        <w:t xml:space="preserve">Heselhaus Sebastian</w:t>
      </w:r>
      <w:r>
        <w:rPr/>
        <w:t xml:space="preserve">, Europa-Fenster, in: Umweltrecht in der Praxis URP 4/2020, S. 452–474</w:t>
      </w:r>
    </w:p>
    <w:p>
      <w:pPr>
        <w:spacing w:after="240" w:line="240" w:lineRule="atLeast"/>
      </w:pPr>
      <w:r>
        <w:rPr>
          <w:smallCaps w:val="1"/>
          <w:caps w:val="0"/>
        </w:rPr>
        <w:t xml:space="preserve">Heselhaus Sebastian</w:t>
      </w:r>
      <w:r>
        <w:rPr/>
        <w:t xml:space="preserve">, Europa-Fenster, in: Umweltrecht in der Praxis URP 3/2020, S. 334–355</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Forschung zum Recht der Energiewende, in: zentralinfo, Industrie- und Handelskammer Zentralschweiz IHZ 01/2020, S. 14–15</w:t>
      </w:r>
    </w:p>
    <w:p>
      <w:pPr>
        <w:spacing w:after="240" w:line="240" w:lineRule="atLeast"/>
      </w:pPr>
      <w:r>
        <w:rPr>
          <w:smallCaps w:val="1"/>
          <w:caps w:val="0"/>
        </w:rPr>
        <w:t xml:space="preserve">Heselhaus Sebastian</w:t>
      </w:r>
      <w:r>
        <w:rPr/>
        <w:t xml:space="preserve">, Europa-Fenster, in: Umweltrecht in der Praxis URP 8/2019, S. 797–813</w:t>
      </w:r>
    </w:p>
    <w:p>
      <w:pPr>
        <w:spacing w:after="240" w:line="240" w:lineRule="atLeast"/>
      </w:pPr>
      <w:r>
        <w:rPr>
          <w:smallCaps w:val="1"/>
          <w:caps w:val="0"/>
        </w:rPr>
        <w:t xml:space="preserve">Heselhaus Sebastian</w:t>
      </w:r>
      <w:r>
        <w:rPr/>
        <w:t xml:space="preserve">, Europa-Fenster, in: Umweltrecht in der Praxis URP 6/2019, S. 583–598</w:t>
      </w:r>
    </w:p>
    <w:p>
      <w:pPr>
        <w:spacing w:after="240" w:line="240" w:lineRule="atLeast"/>
      </w:pPr>
      <w:r>
        <w:rPr>
          <w:smallCaps w:val="1"/>
          <w:caps w:val="0"/>
        </w:rPr>
        <w:t xml:space="preserve">Heselhaus Sebastian</w:t>
      </w:r>
      <w:r>
        <w:rPr/>
        <w:t xml:space="preserve">, Europa-Fenster, in: Umweltrecht in der Praxis URP 5/2019, S. 460–481</w:t>
      </w:r>
    </w:p>
    <w:p>
      <w:pPr>
        <w:spacing w:after="240" w:line="240" w:lineRule="atLeast"/>
      </w:pPr>
      <w:r>
        <w:rPr>
          <w:smallCaps w:val="1"/>
          <w:caps w:val="0"/>
        </w:rPr>
        <w:t xml:space="preserve">Heselhaus Sebastian</w:t>
      </w:r>
      <w:r>
        <w:rPr/>
        <w:t xml:space="preserve">, Europa-Fenster, in: Umweltrecht in der Praxis URP 3/2019, S. 268–285</w:t>
      </w:r>
    </w:p>
    <w:p>
      <w:pPr>
        <w:spacing w:after="240" w:line="240" w:lineRule="atLeast"/>
      </w:pPr>
      <w:r>
        <w:rPr>
          <w:smallCaps w:val="1"/>
          <w:caps w:val="0"/>
        </w:rPr>
        <w:t xml:space="preserve">Heselhaus Sebastian</w:t>
      </w:r>
      <w:r>
        <w:rPr/>
        <w:t xml:space="preserve">, Dieselfahrverbote in deutschen Städten - Grundlagen und Erkenntnisse für das Schweizer Umweltrecht, in: Umweltrecht in der Praxis URP 2/2019, S. 165–187</w:t>
      </w:r>
    </w:p>
    <w:p>
      <w:pPr>
        <w:spacing w:after="240" w:line="240" w:lineRule="atLeast"/>
      </w:pPr>
      <w:r>
        <w:rPr>
          <w:smallCaps w:val="1"/>
          <w:caps w:val="0"/>
        </w:rPr>
        <w:t xml:space="preserve">Heselhaus Sebastian</w:t>
      </w:r>
      <w:r>
        <w:rPr/>
        <w:t xml:space="preserve">, Europa-Fenster, in: Umweltrecht in der Praxis URP 4/2018, S. 360–379</w:t>
      </w:r>
    </w:p>
    <w:p>
      <w:pPr>
        <w:spacing w:after="240" w:line="240" w:lineRule="atLeast"/>
      </w:pPr>
      <w:r>
        <w:rPr>
          <w:smallCaps w:val="1"/>
          <w:caps w:val="0"/>
        </w:rPr>
        <w:t xml:space="preserve">Heselhaus Sebastian</w:t>
      </w:r>
      <w:r>
        <w:rPr/>
        <w:t xml:space="preserve">, Europa-Fenster, in: Umweltrecht in der Praxis URP 2/2018, S. 155–170</w:t>
      </w:r>
    </w:p>
    <w:p>
      <w:pPr>
        <w:spacing w:after="240" w:line="240" w:lineRule="atLeast"/>
      </w:pPr>
      <w:r>
        <w:rPr>
          <w:smallCaps w:val="1"/>
          <w:caps w:val="0"/>
        </w:rPr>
        <w:t xml:space="preserve">Heselhaus Sebastian</w:t>
      </w:r>
      <w:r>
        <w:rPr/>
        <w:t xml:space="preserve">, Europa-Fenster, in: Umweltrecht in der Praxis URP 1/2018, S. 84–97</w:t>
      </w:r>
    </w:p>
    <w:p>
      <w:pPr>
        <w:spacing w:after="240" w:line="240" w:lineRule="atLeast"/>
      </w:pPr>
      <w:r>
        <w:rPr>
          <w:smallCaps w:val="1"/>
          <w:caps w:val="0"/>
        </w:rPr>
        <w:t xml:space="preserve">Heselhaus Sebastian</w:t>
      </w:r>
      <w:r>
        <w:rPr/>
        <w:t xml:space="preserve">, Europa-Fenster, in: Umweltrecht in der Praxis URP 6/2018 2018, S. 560–579</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Energierecht und Zukunft der Fernwärme, in: Aqua &amp; Gas 9/2017, S. 54–57</w:t>
      </w:r>
    </w:p>
    <w:p>
      <w:pPr>
        <w:spacing w:after="240" w:line="240" w:lineRule="atLeast"/>
      </w:pPr>
      <w:r>
        <w:rPr>
          <w:smallCaps w:val="1"/>
          <w:caps w:val="0"/>
        </w:rPr>
        <w:t xml:space="preserve">Heselhaus Sebastian</w:t>
      </w:r>
      <w:r>
        <w:rPr/>
        <w:t xml:space="preserve">, Europa-Fenster, in: Umweltrecht in der Praxis URP 7/2017, S. 720–737</w:t>
      </w:r>
    </w:p>
    <w:p>
      <w:pPr>
        <w:spacing w:after="240" w:line="240" w:lineRule="atLeast"/>
      </w:pPr>
      <w:r>
        <w:rPr>
          <w:smallCaps w:val="1"/>
          <w:caps w:val="0"/>
        </w:rPr>
        <w:t xml:space="preserve">Heselhaus Sebastian</w:t>
      </w:r>
      <w:r>
        <w:rPr/>
        <w:t xml:space="preserve">, Die Umsetzung der Arhus-Konvention in der Europäischen Union, Doppelter Schutzstandard oder zweierlei Mass?, in: Umweltrecht in der Praxis URP 5/2017, S. 527–556</w:t>
      </w:r>
    </w:p>
    <w:p>
      <w:pPr>
        <w:spacing w:after="240" w:line="240" w:lineRule="atLeast"/>
      </w:pPr>
      <w:r>
        <w:rPr>
          <w:smallCaps w:val="1"/>
          <w:caps w:val="0"/>
        </w:rPr>
        <w:t xml:space="preserve">Heselhaus Sebastian</w:t>
      </w:r>
      <w:r>
        <w:rPr/>
        <w:t xml:space="preserve">, Europa-Fenster, in: Umweltrecht in der Praxis URP 4/2017, S. 427–443</w:t>
      </w:r>
    </w:p>
    <w:p>
      <w:pPr>
        <w:spacing w:after="240" w:line="240" w:lineRule="atLeast"/>
      </w:pPr>
      <w:r>
        <w:rPr>
          <w:smallCaps w:val="1"/>
          <w:caps w:val="0"/>
        </w:rPr>
        <w:t xml:space="preserve">Heselhaus Sebastian</w:t>
      </w:r>
      <w:r>
        <w:rPr/>
        <w:t xml:space="preserve">, Europa-Fenster, in: Umweltrecht in der Praxis URP 3/2017, S. 314–330</w:t>
      </w:r>
    </w:p>
    <w:p>
      <w:pPr>
        <w:spacing w:after="240" w:line="240" w:lineRule="atLeast"/>
      </w:pPr>
      <w:r>
        <w:rPr>
          <w:smallCaps w:val="1"/>
          <w:caps w:val="0"/>
        </w:rPr>
        <w:t xml:space="preserve">Heselhaus Sebastian</w:t>
      </w:r>
      <w:r>
        <w:rPr/>
        <w:t xml:space="preserve">, Europa-Fenster, in: Umweltrecht in der Praxis URP 6/2016, S. 608–628</w:t>
      </w:r>
    </w:p>
    <w:p>
      <w:pPr>
        <w:spacing w:after="240" w:line="240" w:lineRule="atLeast"/>
      </w:pPr>
      <w:r>
        <w:rPr>
          <w:smallCaps w:val="1"/>
          <w:caps w:val="0"/>
        </w:rPr>
        <w:t xml:space="preserve">Heselhaus Sebastian</w:t>
      </w:r>
      <w:r>
        <w:rPr/>
        <w:t xml:space="preserve">, Europa-Fenster, in: Umweltrecht in der Praxis URP 4/2016, S. 400–420</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Rechtliche Grundlagen der Fernwärme, in: Jusletter 19. Dezember/2016</w:t>
      </w:r>
    </w:p>
    <w:p>
      <w:pPr>
        <w:spacing w:after="240" w:line="240" w:lineRule="atLeast"/>
      </w:pPr>
      <w:r>
        <w:rPr>
          <w:smallCaps w:val="1"/>
          <w:caps w:val="0"/>
        </w:rPr>
        <w:t xml:space="preserve">Heselhaus Sebastian</w:t>
      </w:r>
      <w:r>
        <w:rPr/>
        <w:t xml:space="preserve">, Europa-Fenster, in: Umweltrecht in der Praxis URP 1/2016, S. 73–91</w:t>
      </w:r>
    </w:p>
    <w:p>
      <w:pPr>
        <w:spacing w:after="240" w:line="240" w:lineRule="atLeast"/>
      </w:pPr>
      <w:r>
        <w:rPr>
          <w:smallCaps w:val="1"/>
          <w:caps w:val="0"/>
        </w:rPr>
        <w:t xml:space="preserve">Heselhaus Sebastian</w:t>
      </w:r>
      <w:r>
        <w:rPr/>
        <w:t xml:space="preserve">, Europa-Fenster, in: Umweltrecht in der Praxis URP 8/2015, S. 753–771</w:t>
      </w:r>
    </w:p>
    <w:p>
      <w:pPr>
        <w:spacing w:after="240" w:line="240" w:lineRule="atLeast"/>
      </w:pPr>
      <w:r>
        <w:rPr>
          <w:smallCaps w:val="1"/>
          <w:caps w:val="0"/>
        </w:rPr>
        <w:t xml:space="preserve">Heselhaus Sebastian</w:t>
      </w:r>
      <w:r>
        <w:rPr/>
        <w:t xml:space="preserve">, Europa-Fenster, in: Umweltrecht in der Praxis URP 6/2015, S. 546–565</w:t>
      </w:r>
    </w:p>
    <w:p>
      <w:pPr>
        <w:spacing w:after="240" w:line="240" w:lineRule="atLeast"/>
      </w:pPr>
      <w:r>
        <w:rPr>
          <w:smallCaps w:val="1"/>
          <w:caps w:val="0"/>
        </w:rPr>
        <w:t xml:space="preserve">Heselhaus Sebastian</w:t>
      </w:r>
      <w:r>
        <w:rPr/>
        <w:t xml:space="preserve">, Europa-Fenster, in: Umweltrecht in der Praxis URP 4/2015, S. 337–356</w:t>
      </w:r>
    </w:p>
    <w:p>
      <w:pPr>
        <w:spacing w:after="240" w:line="240" w:lineRule="atLeast"/>
      </w:pPr>
      <w:r>
        <w:rPr>
          <w:smallCaps w:val="1"/>
          <w:caps w:val="0"/>
        </w:rPr>
        <w:t xml:space="preserve">Heselhaus Sebastian</w:t>
      </w:r>
      <w:r>
        <w:rPr/>
        <w:t xml:space="preserve">, Europa-Fenster, in: Umweltrecht in der Praxis URP 2/2015, S. 148–166</w:t>
      </w:r>
    </w:p>
    <w:p>
      <w:pPr>
        <w:spacing w:after="240" w:line="240" w:lineRule="atLeast"/>
      </w:pPr>
      <w:r>
        <w:rPr>
          <w:smallCaps w:val="1"/>
          <w:caps w:val="0"/>
        </w:rPr>
        <w:t xml:space="preserve">Heselhaus Sebastian</w:t>
      </w:r>
      <w:r>
        <w:rPr/>
        <w:t xml:space="preserve">, Europa-Fenster, in: Umweltrecht in der Praxis URP 7/2014, S. 713–729</w:t>
      </w:r>
    </w:p>
    <w:p>
      <w:pPr>
        <w:spacing w:after="240" w:line="240" w:lineRule="atLeast"/>
      </w:pPr>
      <w:r>
        <w:rPr>
          <w:smallCaps w:val="1"/>
          <w:caps w:val="0"/>
        </w:rPr>
        <w:t xml:space="preserve">Heselhaus Sebastian</w:t>
      </w:r>
      <w:r>
        <w:rPr/>
        <w:t xml:space="preserve">, Europa-Fenster, in: Umweltrecht in der Praxis URP 6/2014, S. 607–622</w:t>
      </w:r>
    </w:p>
    <w:p>
      <w:pPr>
        <w:spacing w:after="240" w:line="240" w:lineRule="atLeast"/>
      </w:pPr>
      <w:r>
        <w:rPr>
          <w:smallCaps w:val="1"/>
          <w:caps w:val="0"/>
        </w:rPr>
        <w:t xml:space="preserve">Heselhaus Sebastian</w:t>
      </w:r>
      <w:r>
        <w:rPr/>
        <w:t xml:space="preserve">, Was ist eigentlich Souveränität?, in: Die Gazette 41/2014, S. 61–64</w:t>
      </w:r>
    </w:p>
    <w:p>
      <w:pPr>
        <w:spacing w:after="240" w:line="240" w:lineRule="atLeast"/>
      </w:pPr>
      <w:r>
        <w:rPr>
          <w:smallCaps w:val="1"/>
          <w:caps w:val="0"/>
        </w:rPr>
        <w:t xml:space="preserve">Heselhaus Sebastian</w:t>
      </w:r>
      <w:r>
        <w:rPr/>
        <w:t xml:space="preserve">, Europa-Fenster, in: Umweltrecht in der Praxis URP 4/2014, S. 397–418</w:t>
      </w:r>
    </w:p>
    <w:p>
      <w:pPr>
        <w:spacing w:after="240" w:line="240" w:lineRule="atLeast"/>
      </w:pPr>
      <w:r>
        <w:rPr>
          <w:smallCaps w:val="1"/>
          <w:caps w:val="0"/>
        </w:rPr>
        <w:t xml:space="preserve">Heselhaus Sebastian</w:t>
      </w:r>
      <w:r>
        <w:rPr/>
        <w:t xml:space="preserve">, Europa-Fenster, in: Umweltrecht in der Praxis URP 2/2014, S. 184–204</w:t>
      </w:r>
    </w:p>
    <w:p>
      <w:pPr>
        <w:spacing w:after="240" w:line="240" w:lineRule="atLeast"/>
      </w:pPr>
      <w:r>
        <w:rPr>
          <w:smallCaps w:val="1"/>
          <w:caps w:val="0"/>
        </w:rPr>
        <w:t xml:space="preserve">Heselhaus Sebastian</w:t>
      </w:r>
      <w:r>
        <w:rPr/>
        <w:t xml:space="preserve">, Europa-Fenster, in: Umweltrecht in der Praxis URP 8/2013, S. 766–785</w:t>
      </w:r>
    </w:p>
    <w:p>
      <w:pPr>
        <w:spacing w:after="240" w:line="240" w:lineRule="atLeast"/>
      </w:pPr>
      <w:r>
        <w:rPr>
          <w:smallCaps w:val="1"/>
          <w:caps w:val="0"/>
        </w:rPr>
        <w:t xml:space="preserve">Heselhaus Sebastian</w:t>
      </w:r>
      <w:r>
        <w:rPr/>
        <w:t xml:space="preserve">, Aktuelle Herausforderungen für die Luftqualität in Europa, in: Umweltrecht in der Praxis URP 6/2013, S. 561–581</w:t>
      </w:r>
    </w:p>
    <w:p>
      <w:pPr>
        <w:spacing w:after="240" w:line="240" w:lineRule="atLeast"/>
      </w:pPr>
      <w:r>
        <w:rPr>
          <w:smallCaps w:val="1"/>
          <w:caps w:val="0"/>
        </w:rPr>
        <w:t xml:space="preserve">Heselhaus Sebastian</w:t>
      </w:r>
      <w:r>
        <w:rPr/>
        <w:t xml:space="preserve">, Europa-Fenster, in: Umweltrecht in der Praxis URP 6/2013, S. 561–582</w:t>
      </w:r>
    </w:p>
    <w:p>
      <w:pPr>
        <w:spacing w:after="240" w:line="240" w:lineRule="atLeast"/>
      </w:pPr>
      <w:r>
        <w:rPr>
          <w:smallCaps w:val="1"/>
          <w:caps w:val="0"/>
        </w:rPr>
        <w:t xml:space="preserve">Heselhaus Sebastian</w:t>
      </w:r>
      <w:r>
        <w:rPr/>
        <w:t xml:space="preserve">, Europa-Fenster, in: Umweltrecht in der Praxis URP 4/2013, S. 364–380</w:t>
      </w:r>
    </w:p>
    <w:p>
      <w:pPr>
        <w:spacing w:after="240" w:line="240" w:lineRule="atLeast"/>
      </w:pPr>
      <w:r>
        <w:rPr>
          <w:smallCaps w:val="1"/>
          <w:caps w:val="0"/>
        </w:rPr>
        <w:t xml:space="preserve">Heselhaus Sebastian</w:t>
      </w:r>
      <w:r>
        <w:rPr/>
        <w:t xml:space="preserve">, Europa-Fenster, in: Umweltrecht in der Praxis URP 2/2013, S. 167–185</w:t>
      </w:r>
    </w:p>
    <w:p>
      <w:pPr>
        <w:spacing w:after="240" w:line="240" w:lineRule="atLeast"/>
      </w:pPr>
      <w:r>
        <w:rPr>
          <w:smallCaps w:val="1"/>
          <w:caps w:val="0"/>
        </w:rPr>
        <w:t xml:space="preserve">Hänni Julia</w:t>
      </w:r>
      <w:r>
        <w:rPr/>
        <w:t xml:space="preserve">/</w:t>
      </w:r>
      <w:r>
        <w:rPr>
          <w:smallCaps w:val="1"/>
          <w:caps w:val="0"/>
        </w:rPr>
        <w:t xml:space="preserve">Heselhaus Sebastian</w:t>
      </w:r>
      <w:r>
        <w:rPr/>
        <w:t xml:space="preserve">, Die eidgenössische Volksinitiative "Gegen Masseneinwanderung" (Zuwanderungsinitiative) im Lichte des Freizügigkeitsabkommens und der bilateralen Zusammenarbeit mit der EU, in: Schweizerische Zeitschrift für Internationales und Europäisches Recht 1/2013, S. 1 ff.</w:t>
      </w:r>
    </w:p>
    <w:p>
      <w:pPr>
        <w:spacing w:after="240" w:line="240" w:lineRule="atLeast"/>
      </w:pPr>
      <w:r>
        <w:rPr>
          <w:smallCaps w:val="1"/>
          <w:caps w:val="0"/>
        </w:rPr>
        <w:t xml:space="preserve">Heselhaus Sebastian</w:t>
      </w:r>
      <w:r>
        <w:rPr/>
        <w:t xml:space="preserve">, Die Ausgestaltung der Europäischen Bürgerinitiative - Eine vertane Chance?, in: EuZ 2013, S. 4–15</w:t>
      </w:r>
    </w:p>
    <w:p>
      <w:pPr>
        <w:spacing w:after="240" w:line="240" w:lineRule="atLeast"/>
      </w:pPr>
      <w:r>
        <w:rPr>
          <w:smallCaps w:val="1"/>
          <w:caps w:val="0"/>
        </w:rPr>
        <w:t xml:space="preserve">Heselhaus Sebastian</w:t>
      </w:r>
      <w:r>
        <w:rPr/>
        <w:t xml:space="preserve">/</w:t>
      </w:r>
      <w:r>
        <w:rPr>
          <w:smallCaps w:val="1"/>
          <w:caps w:val="0"/>
        </w:rPr>
        <w:t xml:space="preserve">Hänni Julia</w:t>
      </w:r>
      <w:r>
        <w:rPr/>
        <w:t xml:space="preserve">, Die eidgenössische Volksinitiative "Gegen Masseneinwanderung" (Zuwanderungsinitiative) im Lichte des Freizügigkeitsabkommens und der bilateralen Zusammenarbeit mit der EU, in: SZIER 2013, S. 19 ff.</w:t>
      </w:r>
    </w:p>
    <w:p>
      <w:pPr>
        <w:spacing w:after="240" w:line="240" w:lineRule="atLeast"/>
      </w:pPr>
      <w:r>
        <w:rPr>
          <w:smallCaps w:val="1"/>
          <w:caps w:val="0"/>
        </w:rPr>
        <w:t xml:space="preserve">Heselhaus Sebastian</w:t>
      </w:r>
      <w:r>
        <w:rPr/>
        <w:t xml:space="preserve">, Europäisches Energie- und Umweltrecht als Rahmen der Energiewende in Deutschland, in: Zeitschrift für Europäisches Umwelt- und Planungsrecht (EurUP) 2013, S. 137–150</w:t>
      </w:r>
    </w:p>
    <w:p>
      <w:pPr>
        <w:spacing w:after="240" w:line="240" w:lineRule="atLeast"/>
      </w:pPr>
      <w:r>
        <w:rPr>
          <w:smallCaps w:val="1"/>
          <w:caps w:val="0"/>
        </w:rPr>
        <w:t xml:space="preserve">Heselhaus Sebastian</w:t>
      </w:r>
      <w:r>
        <w:rPr/>
        <w:t xml:space="preserve">, Europa-Fenster, in: Umweltrecht in der Praxis URP 9/2012, S. 910–925</w:t>
      </w:r>
    </w:p>
    <w:p>
      <w:pPr>
        <w:spacing w:after="240" w:line="240" w:lineRule="atLeast"/>
      </w:pPr>
      <w:r>
        <w:rPr>
          <w:smallCaps w:val="1"/>
          <w:caps w:val="0"/>
        </w:rPr>
        <w:t xml:space="preserve">Heselhaus Sebastian</w:t>
      </w:r>
      <w:r>
        <w:rPr/>
        <w:t xml:space="preserve">, Europa-Fenster, in: Umweltrecht in der Praxis URP 7/2012, S. 708–726</w:t>
      </w:r>
    </w:p>
    <w:p>
      <w:pPr>
        <w:spacing w:after="240" w:line="240" w:lineRule="atLeast"/>
      </w:pPr>
      <w:r>
        <w:rPr>
          <w:smallCaps w:val="1"/>
          <w:caps w:val="0"/>
        </w:rPr>
        <w:t xml:space="preserve">Heselhaus Sebastian</w:t>
      </w:r>
      <w:r>
        <w:rPr/>
        <w:t xml:space="preserve">, Europa-Fenster, in: Umweltrecht in der Praxis URP 4/2012, S. 351–370</w:t>
      </w:r>
    </w:p>
    <w:p>
      <w:pPr>
        <w:spacing w:after="240" w:line="240" w:lineRule="atLeast"/>
      </w:pPr>
      <w:r>
        <w:rPr>
          <w:smallCaps w:val="1"/>
          <w:caps w:val="0"/>
        </w:rPr>
        <w:t xml:space="preserve">Heselhaus Sebastian</w:t>
      </w:r>
      <w:r>
        <w:rPr/>
        <w:t xml:space="preserve">, Europa-Fenster, in: Umweltrecht in der Praxis URP 2/2012, S. 167–187</w:t>
      </w:r>
    </w:p>
    <w:p>
      <w:pPr>
        <w:spacing w:after="240" w:line="240" w:lineRule="atLeast"/>
      </w:pPr>
      <w:r>
        <w:rPr>
          <w:smallCaps w:val="1"/>
          <w:caps w:val="0"/>
        </w:rPr>
        <w:t xml:space="preserve">Heselhaus Sebastian</w:t>
      </w:r>
      <w:r>
        <w:rPr/>
        <w:t xml:space="preserve">, Europa-Fenster, in: Umweltrecht in der Praxis URP 7/2011, S. 720–740</w:t>
      </w:r>
    </w:p>
    <w:p>
      <w:pPr>
        <w:spacing w:after="240" w:line="240" w:lineRule="atLeast"/>
      </w:pPr>
      <w:r>
        <w:rPr>
          <w:smallCaps w:val="1"/>
          <w:caps w:val="0"/>
        </w:rPr>
        <w:t xml:space="preserve">Heselhaus Sebastian</w:t>
      </w:r>
      <w:r>
        <w:rPr/>
        <w:t xml:space="preserve">, Europa-Fenster, in: Umweltrecht in der Praxis URP 5/2011, S. 473–492</w:t>
      </w:r>
    </w:p>
    <w:p>
      <w:pPr>
        <w:spacing w:after="240" w:line="240" w:lineRule="atLeast"/>
      </w:pPr>
      <w:r>
        <w:rPr>
          <w:smallCaps w:val="1"/>
          <w:caps w:val="0"/>
        </w:rPr>
        <w:t xml:space="preserve">Heselhaus Sebastian</w:t>
      </w:r>
      <w:r>
        <w:rPr/>
        <w:t xml:space="preserve">, Europa-Fenster, in: Umweltrecht in der Praxis URP 3/2011, S. 269–286</w:t>
      </w:r>
    </w:p>
    <w:p>
      <w:pPr>
        <w:spacing w:after="240" w:line="240" w:lineRule="atLeast"/>
      </w:pPr>
      <w:r>
        <w:rPr>
          <w:smallCaps w:val="1"/>
          <w:caps w:val="0"/>
        </w:rPr>
        <w:t xml:space="preserve">Heselhaus Sebastian</w:t>
      </w:r>
      <w:r>
        <w:rPr/>
        <w:t xml:space="preserve">, Europa-Fenster, in: Umweltrecht in der Praxis URP 1/2011, S. 67–87</w:t>
      </w:r>
    </w:p>
    <w:p>
      <w:pPr>
        <w:spacing w:after="240" w:line="240" w:lineRule="atLeast"/>
      </w:pPr>
      <w:r>
        <w:rPr>
          <w:smallCaps w:val="1"/>
          <w:caps w:val="0"/>
        </w:rPr>
        <w:t xml:space="preserve">Heselhaus Sebastian</w:t>
      </w:r>
      <w:r>
        <w:rPr/>
        <w:t xml:space="preserve">, Europa-Fenster, in: Umweltrecht in der Praxis URP 7/2010, S. 756–776</w:t>
      </w:r>
    </w:p>
    <w:p>
      <w:pPr>
        <w:spacing w:after="240" w:line="240" w:lineRule="atLeast"/>
      </w:pPr>
      <w:r>
        <w:rPr>
          <w:smallCaps w:val="1"/>
          <w:caps w:val="0"/>
        </w:rPr>
        <w:t xml:space="preserve">Heselhaus Sebastian</w:t>
      </w:r>
      <w:r>
        <w:rPr/>
        <w:t xml:space="preserve">, Europa-Fenster zu den Novellierungen im EU-Gefahrstoffrecht, in: Umweltrecht in der Praxis URP 6/2010, S. 649–673</w:t>
      </w:r>
    </w:p>
    <w:p>
      <w:pPr>
        <w:spacing w:after="240" w:line="240" w:lineRule="atLeast"/>
      </w:pPr>
      <w:r>
        <w:rPr>
          <w:smallCaps w:val="1"/>
          <w:caps w:val="0"/>
        </w:rPr>
        <w:t xml:space="preserve">Heselhaus Sebastian</w:t>
      </w:r>
      <w:r>
        <w:rPr/>
        <w:t xml:space="preserve">, Europa-Fenster, in: Umweltrecht in der Praxis URP 5/2010, S. 549–564</w:t>
      </w:r>
    </w:p>
    <w:p>
      <w:pPr>
        <w:spacing w:after="240" w:line="240" w:lineRule="atLeast"/>
      </w:pPr>
      <w:r>
        <w:rPr>
          <w:smallCaps w:val="1"/>
          <w:caps w:val="0"/>
        </w:rPr>
        <w:t xml:space="preserve">Heselhaus Sebastian</w:t>
      </w:r>
      <w:r>
        <w:rPr/>
        <w:t xml:space="preserve">, Europa-Fenster, in: Umweltrecht in der Praxis URP 2/2010, S. 171–187</w:t>
      </w:r>
    </w:p>
    <w:p>
      <w:pPr>
        <w:spacing w:after="240" w:line="240" w:lineRule="atLeast"/>
      </w:pPr>
      <w:r>
        <w:rPr>
          <w:smallCaps w:val="1"/>
          <w:caps w:val="0"/>
        </w:rPr>
        <w:t xml:space="preserve">Heselhaus Sebastian</w:t>
      </w:r>
      <w:r>
        <w:rPr/>
        <w:t xml:space="preserve">, Consumer Protection and Precautionary Principle in the EU; The Case of Nanomaterials, in: Journal of Consumer Policy 2010, S. 91–108</w:t>
      </w:r>
    </w:p>
    <w:p>
      <w:pPr>
        <w:spacing w:after="240" w:line="240" w:lineRule="atLeast"/>
      </w:pPr>
      <w:r>
        <w:rPr>
          <w:smallCaps w:val="1"/>
          <w:caps w:val="0"/>
        </w:rPr>
        <w:t xml:space="preserve">Heselhaus Sebastian</w:t>
      </w:r>
      <w:r>
        <w:rPr/>
        <w:t xml:space="preserve">, Nanomaterials and the Precautionary Principle in the EU, in: Journal of Consumer Policy 2010, S. 91–108</w:t>
      </w:r>
    </w:p>
    <w:p>
      <w:pPr>
        <w:spacing w:after="240" w:line="240" w:lineRule="atLeast"/>
      </w:pPr>
      <w:r>
        <w:rPr>
          <w:smallCaps w:val="1"/>
          <w:caps w:val="0"/>
        </w:rPr>
        <w:t xml:space="preserve">Heselhaus Sebastian</w:t>
      </w:r>
      <w:r>
        <w:rPr/>
        <w:t xml:space="preserve">, Risk Management of Nanomaterials under Existing EC-Legislation on Chemicals, Pesticides and Biocides, in: Environmental Law Review 2010, S. 115–131</w:t>
      </w:r>
    </w:p>
    <w:p>
      <w:pPr>
        <w:spacing w:after="240" w:line="240" w:lineRule="atLeast"/>
      </w:pPr>
      <w:r>
        <w:rPr>
          <w:smallCaps w:val="1"/>
          <w:caps w:val="0"/>
        </w:rPr>
        <w:t xml:space="preserve">Heselhaus Sebastian</w:t>
      </w:r>
      <w:r>
        <w:rPr/>
        <w:t xml:space="preserve">, Europa-Fenster, in: Umweltrecht in der Praxis URP 8/2009, S. 937–952</w:t>
      </w:r>
    </w:p>
    <w:p>
      <w:pPr>
        <w:spacing w:after="240" w:line="240" w:lineRule="atLeast"/>
      </w:pPr>
      <w:r>
        <w:rPr>
          <w:smallCaps w:val="1"/>
          <w:caps w:val="0"/>
        </w:rPr>
        <w:t xml:space="preserve">Heselhaus Sebastian</w:t>
      </w:r>
      <w:r>
        <w:rPr/>
        <w:t xml:space="preserve">, Europa-Fenster, in: Umweltrecht in der Praxis URP 6/2009, S. 691–711</w:t>
      </w:r>
    </w:p>
    <w:p>
      <w:pPr>
        <w:spacing w:after="240" w:line="240" w:lineRule="atLeast"/>
      </w:pPr>
      <w:r>
        <w:rPr>
          <w:smallCaps w:val="1"/>
          <w:caps w:val="0"/>
        </w:rPr>
        <w:t xml:space="preserve">Heselhaus Sebastian</w:t>
      </w:r>
      <w:r>
        <w:rPr/>
        <w:t xml:space="preserve">, Europa-Fenster, in: Umweltrecht in der Praxis URP 5/2009, S. 563–577</w:t>
      </w:r>
    </w:p>
    <w:p>
      <w:pPr>
        <w:spacing w:after="240" w:line="240" w:lineRule="atLeast"/>
      </w:pPr>
      <w:r>
        <w:rPr>
          <w:smallCaps w:val="1"/>
          <w:caps w:val="0"/>
        </w:rPr>
        <w:t xml:space="preserve">Heselhaus Sebastian</w:t>
      </w:r>
      <w:r>
        <w:rPr/>
        <w:t xml:space="preserve">, Europa-Fenster, in: Umweltrecht in der Praxis URP 2/2009, S. 206–223</w:t>
      </w:r>
    </w:p>
    <w:p>
      <w:pPr>
        <w:spacing w:after="240" w:line="240" w:lineRule="atLeast"/>
      </w:pPr>
      <w:r>
        <w:rPr>
          <w:smallCaps w:val="1"/>
          <w:caps w:val="0"/>
        </w:rPr>
        <w:t xml:space="preserve">Heselhaus Sebastian</w:t>
      </w:r>
      <w:r>
        <w:rPr/>
        <w:t xml:space="preserve">, Biokraftstoffe und das Recht auf Nahrung, in: Archiv des Völkerrechts 2009, S. 93–133</w:t>
      </w:r>
    </w:p>
    <w:p>
      <w:pPr>
        <w:spacing w:after="240" w:line="240" w:lineRule="atLeast"/>
      </w:pPr>
      <w:r>
        <w:rPr>
          <w:smallCaps w:val="1"/>
          <w:caps w:val="0"/>
        </w:rPr>
        <w:t xml:space="preserve">Heselhaus Sebastian</w:t>
      </w:r>
      <w:r>
        <w:rPr/>
        <w:t xml:space="preserve">, Europa-Fenster, in: Umweltrecht in der Praxis URP 9/2008, S. 839–857</w:t>
      </w:r>
    </w:p>
    <w:p>
      <w:pPr>
        <w:spacing w:after="240" w:line="240" w:lineRule="atLeast"/>
      </w:pPr>
      <w:r>
        <w:rPr>
          <w:smallCaps w:val="1"/>
          <w:caps w:val="0"/>
        </w:rPr>
        <w:t xml:space="preserve">Heselhaus Sebastian</w:t>
      </w:r>
      <w:r>
        <w:rPr/>
        <w:t xml:space="preserve">, Europa-Fenster, Die Entwicklung des Handelssystems für Emissionszertifikate in der EU, in: Umweltrecht in der Praxis URP 6/2008, S. 631–647</w:t>
      </w:r>
    </w:p>
    <w:p>
      <w:pPr>
        <w:spacing w:after="240" w:line="240" w:lineRule="atLeast"/>
      </w:pPr>
      <w:r>
        <w:rPr>
          <w:smallCaps w:val="1"/>
          <w:caps w:val="0"/>
        </w:rPr>
        <w:t xml:space="preserve">Heselhaus Sebastian</w:t>
      </w:r>
      <w:r>
        <w:rPr/>
        <w:t xml:space="preserve">, Europa-Fenster, in: Umweltrecht in der Praxis URP 3/2008, S. 270–284</w:t>
      </w:r>
    </w:p>
    <w:p>
      <w:pPr>
        <w:spacing w:after="240" w:line="240" w:lineRule="atLeast"/>
      </w:pPr>
      <w:r>
        <w:rPr>
          <w:smallCaps w:val="1"/>
          <w:caps w:val="0"/>
        </w:rPr>
        <w:t xml:space="preserve">Heselhaus Sebastian</w:t>
      </w:r>
      <w:r>
        <w:rPr/>
        <w:t xml:space="preserve">, Europa-Fenster, in: Umweltrecht in der Praxis URP 1/2008, S. 57–72</w:t>
      </w:r>
    </w:p>
    <w:p>
      <w:pPr>
        <w:spacing w:after="240" w:line="240" w:lineRule="atLeast"/>
      </w:pPr>
      <w:r>
        <w:rPr>
          <w:smallCaps w:val="1"/>
          <w:caps w:val="0"/>
        </w:rPr>
        <w:t xml:space="preserve">Heselhaus Sebastian</w:t>
      </w:r>
      <w:r>
        <w:rPr/>
        <w:t xml:space="preserve">/</w:t>
      </w:r>
      <w:r>
        <w:rPr>
          <w:smallCaps w:val="1"/>
          <w:caps w:val="0"/>
        </w:rPr>
        <w:t xml:space="preserve">Dreimann Thorsten</w:t>
      </w:r>
      <w:r>
        <w:rPr/>
        <w:t xml:space="preserve">, Verfassungswandel ohne Lissabonner Vertrag? Zur aktuellen Bedeutung des EuGH im Integrationsprozess aus schweizerischer Sicht, in: SJER 2008, S. 265–288</w:t>
      </w:r>
    </w:p>
    <w:p>
      <w:pPr>
        <w:spacing w:after="240" w:line="240" w:lineRule="atLeast"/>
      </w:pPr>
      <w:r>
        <w:rPr>
          <w:smallCaps w:val="1"/>
          <w:caps w:val="0"/>
        </w:rPr>
        <w:t xml:space="preserve">Heselhaus Sebastian</w:t>
      </w:r>
      <w:r>
        <w:rPr/>
        <w:t xml:space="preserve">/</w:t>
      </w:r>
      <w:r>
        <w:rPr>
          <w:smallCaps w:val="1"/>
          <w:caps w:val="0"/>
        </w:rPr>
        <w:t xml:space="preserve">Weiss S</w:t>
      </w:r>
      <w:r>
        <w:rPr/>
        <w:t xml:space="preserve">, "Pfusch im ´Grossen Öffentlichen´: eine kleine Fehlerfolgenlehre", Klausur Öffentliches Recht, in: Juristische Arbeitsblätter JA 2005, S. 122 ff.</w:t>
      </w:r>
    </w:p>
    <w:p>
      <w:pPr>
        <w:spacing w:after="240" w:line="240" w:lineRule="atLeast"/>
      </w:pPr>
      <w:r>
        <w:rPr>
          <w:smallCaps w:val="1"/>
          <w:caps w:val="0"/>
        </w:rPr>
        <w:t xml:space="preserve">Heselhaus Sebastian</w:t>
      </w:r>
      <w:r>
        <w:rPr/>
        <w:t xml:space="preserve">, Strassburger Springprozession zum Schutz der Umwelt / Ökologische Menschenrechte nach den Hatton-Entscheidungen des Europäischen Gerichtshofes für Menschenrechte, in: EuGRZ 2005, S. 549–557</w:t>
      </w:r>
    </w:p>
    <w:p>
      <w:pPr>
        <w:spacing w:after="240" w:line="240" w:lineRule="atLeast"/>
      </w:pPr>
      <w:r>
        <w:rPr>
          <w:smallCaps w:val="1"/>
          <w:caps w:val="0"/>
        </w:rPr>
        <w:t xml:space="preserve">Heselhaus Sebastian</w:t>
      </w:r>
      <w:r>
        <w:rPr/>
        <w:t xml:space="preserve">/</w:t>
      </w:r>
      <w:r>
        <w:rPr>
          <w:smallCaps w:val="1"/>
          <w:caps w:val="0"/>
        </w:rPr>
        <w:t xml:space="preserve">Kirchner Stefan</w:t>
      </w:r>
      <w:r>
        <w:rPr/>
        <w:t xml:space="preserve">, Rauchfrei und ratlos, Bericht aus dem 5. Komitee, in: Vereinte Nationen 1/2004, S. 21–22</w:t>
      </w:r>
    </w:p>
    <w:p>
      <w:pPr>
        <w:spacing w:after="240" w:line="240" w:lineRule="atLeast"/>
      </w:pPr>
      <w:r>
        <w:rPr>
          <w:smallCaps w:val="1"/>
          <w:caps w:val="0"/>
        </w:rPr>
        <w:t xml:space="preserve">Heselhaus Sebastian</w:t>
      </w:r>
      <w:r>
        <w:rPr/>
        <w:t xml:space="preserve">, Die Behandlung Internierter im Irak-Krieg: Grauzonen hinter der Kampfzone?, in: Humanitäres Völkerrecht - Informationsschriften 2004, S. 136–143</w:t>
      </w:r>
    </w:p>
    <w:p>
      <w:pPr>
        <w:spacing w:after="240" w:line="240" w:lineRule="atLeast"/>
      </w:pPr>
      <w:r>
        <w:rPr>
          <w:smallCaps w:val="1"/>
          <w:caps w:val="0"/>
        </w:rPr>
        <w:t xml:space="preserve">Heselhaus Sebastian</w:t>
      </w:r>
      <w:r>
        <w:rPr/>
        <w:t xml:space="preserve">, Die Verjährungsfristen im Staatshaftungsrecht nach der Schuldrechtsreform, in: Deutsches Verwaltungsblatt DVBl 2004, S. 411–417</w:t>
      </w:r>
    </w:p>
    <w:p>
      <w:pPr>
        <w:spacing w:after="240" w:line="240" w:lineRule="atLeast"/>
      </w:pPr>
      <w:r>
        <w:rPr>
          <w:smallCaps w:val="1"/>
          <w:caps w:val="0"/>
        </w:rPr>
        <w:t xml:space="preserve">Heselhaus Sebastian</w:t>
      </w:r>
      <w:r>
        <w:rPr/>
        <w:t xml:space="preserve">, Umgestaltung des deutschen Chemikalienrechts durch europäische Chemikalienpolitik - Tagungsbericht über die neunten Osnabrücker Gespräche zum deutschen und europäischen Umweltrecht am 27./28.2.2003, in: NVwZ 2003, S. 1221–1222</w:t>
      </w:r>
    </w:p>
    <w:p>
      <w:pPr>
        <w:spacing w:after="240" w:line="240" w:lineRule="atLeast"/>
      </w:pPr>
      <w:r>
        <w:rPr>
          <w:smallCaps w:val="1"/>
          <w:caps w:val="0"/>
        </w:rPr>
        <w:t xml:space="preserve">Heselhaus Sebastian</w:t>
      </w:r>
      <w:r>
        <w:rPr/>
        <w:t xml:space="preserve">/</w:t>
      </w:r>
      <w:r>
        <w:rPr>
          <w:smallCaps w:val="1"/>
          <w:caps w:val="0"/>
        </w:rPr>
        <w:t xml:space="preserve">Kerkmann J</w:t>
      </w:r>
      <w:r>
        <w:rPr/>
        <w:t xml:space="preserve">, "Die Rotbauchunke auf Abwegen", Klausur Öffentliches Recht, in: Juristische Arbeitsblätter JA 2002, S. 485 ff.</w:t>
      </w:r>
    </w:p>
    <w:p>
      <w:pPr>
        <w:spacing w:after="240" w:line="240" w:lineRule="atLeast"/>
      </w:pPr>
      <w:r>
        <w:rPr>
          <w:smallCaps w:val="1"/>
          <w:caps w:val="0"/>
        </w:rPr>
        <w:t xml:space="preserve">Heselhaus Sebastian</w:t>
      </w:r>
      <w:r>
        <w:rPr/>
        <w:t xml:space="preserve">, Resolution 1422 (2002) des Sicherheitsrates zur Begrenzung der Tätigkeit des Internationalen Strafgerichtshofes, in: ZaöRV 62/2002, S. 907–940</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Die Wehrpflicht in der Zange des Europa- und Verfassungsrechts, in: NJW 2001, S. 2680–2682</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Ernstfall für die Gleichberechtigung - europa- und verfassungsrechtliche Aspekte der Novellierung des Soldatenrechts, in: NJW 2001, S. 263–269</w:t>
      </w:r>
    </w:p>
    <w:p>
      <w:pPr>
        <w:spacing w:after="240" w:line="240" w:lineRule="atLeast"/>
      </w:pPr>
      <w:r>
        <w:rPr>
          <w:smallCaps w:val="1"/>
          <w:caps w:val="0"/>
        </w:rPr>
        <w:t xml:space="preserve">Heselhaus Sebastian</w:t>
      </w:r>
      <w:r>
        <w:rPr/>
        <w:t xml:space="preserve">, Individualrechtsschutz in der EG und der WTO (Tagungsbericht), in: DVBI 2001, S. 616–619</w:t>
      </w:r>
    </w:p>
    <w:p>
      <w:pPr>
        <w:spacing w:after="240" w:line="240" w:lineRule="atLeast"/>
      </w:pPr>
      <w:r>
        <w:rPr>
          <w:smallCaps w:val="1"/>
          <w:caps w:val="0"/>
        </w:rPr>
        <w:t xml:space="preserve">Heselhaus Sebastian</w:t>
      </w:r>
      <w:r>
        <w:rPr/>
        <w:t xml:space="preserve">, Rechtfertigung unmittelbar diskriminierender Eingriffe in die Warenverkehrsfreiheit, in: EuZW 2001, S. 645–650</w:t>
      </w:r>
    </w:p>
    <w:p>
      <w:pPr>
        <w:spacing w:after="240" w:line="240" w:lineRule="atLeast"/>
      </w:pPr>
      <w:r>
        <w:rPr>
          <w:smallCaps w:val="1"/>
          <w:caps w:val="0"/>
        </w:rPr>
        <w:t xml:space="preserve">Heselhaus Sebastian</w:t>
      </w:r>
      <w:r>
        <w:rPr/>
        <w:t xml:space="preserve">, Die Entscheidungen des IGH über den Erlass vorsorglicher Massnahmen in den Fällen Legality of Use of Force vom 2. Juni 1999, in: AVR 38/2000, S. 328–375</w:t>
      </w:r>
    </w:p>
    <w:p>
      <w:pPr>
        <w:spacing w:after="240" w:line="240" w:lineRule="atLeast"/>
      </w:pPr>
      <w:r>
        <w:rPr>
          <w:smallCaps w:val="1"/>
          <w:caps w:val="0"/>
        </w:rPr>
        <w:t xml:space="preserve">Heselhaus Sebastian</w:t>
      </w:r>
      <w:r>
        <w:rPr/>
        <w:t xml:space="preserve">, Wie durchsichtig muss die "gläserne" Umweltverwaltung sein?, in: EuZW 2000, S. 298–304</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Die Welthandelsorganisation, in: Juristische Arbeitsblätter JA 1999, S. 76–82</w:t>
      </w:r>
    </w:p>
    <w:p>
      <w:pPr>
        <w:spacing w:after="240" w:line="240" w:lineRule="atLeast"/>
      </w:pPr>
      <w:r>
        <w:rPr>
          <w:smallCaps w:val="1"/>
          <w:caps w:val="0"/>
        </w:rPr>
        <w:t xml:space="preserve">Heselhaus Sebastian</w:t>
      </w:r>
      <w:r>
        <w:rPr/>
        <w:t xml:space="preserve">, Emanzipation der Umweltpolitik nach Art. 175 I EGV, in: NVwZ 1999, S. 1190–1193</w:t>
      </w:r>
    </w:p>
    <w:p>
      <w:pPr>
        <w:spacing w:after="240" w:line="240" w:lineRule="atLeast"/>
      </w:pPr>
      <w:r>
        <w:rPr>
          <w:smallCaps w:val="1"/>
          <w:caps w:val="0"/>
        </w:rPr>
        <w:t xml:space="preserve">Heselhaus Sebastian</w:t>
      </w:r>
      <w:r>
        <w:rPr/>
        <w:t xml:space="preserve">, Völkerrechtliche Grundfragen im Zusammenhang mit dem Kosovo-Konflikt, in: Juristische Arbeitsblätter JA 1999, S. 984–992</w:t>
      </w:r>
    </w:p>
    <w:p>
      <w:pPr>
        <w:spacing w:after="240" w:line="240" w:lineRule="atLeast"/>
      </w:pPr>
      <w:r>
        <w:rPr>
          <w:smallCaps w:val="1"/>
          <w:caps w:val="0"/>
        </w:rPr>
        <w:t xml:space="preserve">Heselhaus Sebastian</w:t>
      </w:r>
      <w:r>
        <w:rPr/>
        <w:t xml:space="preserve">, "Schockwerbung", Klausur Öffentliches Recht, in: Juristische Arbeitsblätter JA 1995, S. 863 ff.</w:t>
      </w:r>
    </w:p>
    <w:p>
      <w:pPr>
        <w:spacing w:after="240" w:line="240" w:lineRule="atLeast"/>
      </w:pPr>
      <w:r>
        <w:rPr>
          <w:smallCaps w:val="1"/>
          <w:caps w:val="0"/>
        </w:rPr>
        <w:t xml:space="preserve">Heselhaus Sebastian</w:t>
      </w:r>
      <w:r>
        <w:rPr/>
        <w:t xml:space="preserve">/</w:t>
      </w:r>
      <w:r>
        <w:rPr>
          <w:smallCaps w:val="1"/>
          <w:caps w:val="0"/>
        </w:rPr>
        <w:t xml:space="preserve">Intra Matthias</w:t>
      </w:r>
      <w:r>
        <w:rPr/>
        <w:t xml:space="preserve">, "Der verunglimpfte Chorleiter", Klausur Öffentliches Recht, in: Juristische Arbeitsblätter JA 1994, S. 78 ff.</w:t>
      </w:r>
    </w:p>
    <w:p>
      <w:pPr>
        <w:spacing w:after="240" w:line="240" w:lineRule="atLeast"/>
      </w:pPr>
      <w:r>
        <w:rPr>
          <w:smallCaps w:val="1"/>
          <w:caps w:val="0"/>
        </w:rPr>
        <w:t xml:space="preserve">Heselhaus Sebastian</w:t>
      </w:r>
      <w:r>
        <w:rPr/>
        <w:t xml:space="preserve">, Gemeinschaftsrechtliche Vorgaben für Strassenbenutzungsgebühren für den Schwerverkehr, in: EuZW 1993, S. 311–314</w:t>
      </w:r>
    </w:p>
    <w:p>
      <w:pPr>
        <w:spacing w:after="240" w:line="240" w:lineRule="atLeast"/>
      </w:pPr>
      <w:r>
        <w:rPr>
          <w:smallCaps w:val="1"/>
          <w:caps w:val="0"/>
        </w:rPr>
        <w:t xml:space="preserve">Heselhaus Sebastian</w:t>
      </w:r>
      <w:r>
        <w:rPr/>
        <w:t xml:space="preserve">, Neue Entwicklungen bei der Bestimmung des Schutzbereichs der Meinungsfreiheit, in: NVwZ 1992, S. 740–743</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Heselhaus Sebastian</w:t>
      </w:r>
      <w:r>
        <w:rPr/>
        <w:t xml:space="preserve">/</w:t>
      </w:r>
      <w:r>
        <w:rPr>
          <w:smallCaps w:val="1"/>
          <w:caps w:val="0"/>
        </w:rPr>
        <w:t xml:space="preserve">Thoma Simon</w:t>
      </w:r>
      <w:r>
        <w:rPr/>
        <w:t xml:space="preserve">, Aktuelle Entwicklungen im Europäischen Energierecht, in: Epiney, Astrid/Progin-Theuerkauf, Sarah/Dahinden, Flaminia/Dukarm, Sophie (Hrsg.), Schweizerisches Jahrbuch für Europarecht 2024/2025, Zürich/Bern 2025, S. 141–164</w:t>
      </w:r>
    </w:p>
    <w:p>
      <w:pPr>
        <w:spacing w:after="240" w:line="240" w:lineRule="atLeast"/>
      </w:pPr>
      <w:r>
        <w:rPr>
          <w:smallCaps w:val="1"/>
          <w:caps w:val="0"/>
        </w:rPr>
        <w:t xml:space="preserve">Heselhaus Sebastian</w:t>
      </w:r>
      <w:r>
        <w:rPr/>
        <w:t xml:space="preserve">, Verfassungsrechtliche Grundlagen des Umweltschutzes, in: Rehbinder, Eckard/Schink, Alexander (Hrsg.), Grundzüge des Umweltrechts, 6., Berlin 2025, S. 3–70</w:t>
      </w:r>
    </w:p>
    <w:p>
      <w:pPr>
        <w:spacing w:after="240" w:line="240" w:lineRule="atLeast"/>
      </w:pPr>
      <w:r>
        <w:rPr>
          <w:smallCaps w:val="1"/>
          <w:caps w:val="0"/>
        </w:rPr>
        <w:t xml:space="preserve">Heselhaus Sebastian</w:t>
      </w:r>
      <w:r>
        <w:rPr/>
        <w:t xml:space="preserve">/</w:t>
      </w:r>
      <w:r>
        <w:rPr>
          <w:smallCaps w:val="1"/>
          <w:caps w:val="0"/>
        </w:rPr>
        <w:t xml:space="preserve">Thoma Simon</w:t>
      </w:r>
      <w:r>
        <w:rPr/>
        <w:t xml:space="preserve">, Aktuelle Entwicklungen im Europäischen Energierecht, in: Epiney, Astrid/Progin-Theuerkauf, Sarah/Dahinden, Flaminia/Dukarm, Sophie (Hrsg.), Schweizerisches Jahrbuch für Europarecht 2023/2024, Zürich/Genf 2024, S. 185–209</w:t>
      </w:r>
    </w:p>
    <w:p>
      <w:pPr>
        <w:spacing w:after="240" w:line="240" w:lineRule="atLeast"/>
      </w:pPr>
      <w:r>
        <w:rPr>
          <w:smallCaps w:val="1"/>
          <w:caps w:val="0"/>
        </w:rPr>
        <w:t xml:space="preserve">Heselhaus Sebastian</w:t>
      </w:r>
      <w:r>
        <w:rPr/>
        <w:t xml:space="preserve">, O.I Umweltrecht, Grundlagen und Vorschriften des allgemeinen Umweltrechts, in: Dauses, Manfred/Ludwigs, Markus (Hrsg.), Handbuch des EG-Wirtschaftsrechts, 61. Aufl., München 2024, S. 1–154</w:t>
      </w:r>
    </w:p>
    <w:p>
      <w:pPr>
        <w:spacing w:after="240" w:line="240" w:lineRule="atLeast"/>
      </w:pPr>
      <w:r>
        <w:rPr>
          <w:smallCaps w:val="1"/>
          <w:caps w:val="0"/>
        </w:rPr>
        <w:t xml:space="preserve">Heselhaus Sebastian</w:t>
      </w:r>
      <w:r>
        <w:rPr/>
        <w:t xml:space="preserve">, Aktuelle Spielräume für ein Institutionelles Rahmenabkommen, in: Baumgartner, Tobias/Kellerhals, Andreas/Uebe, Wesselina (Hrsg.), EuZ Jahrbuch 2022, Kölliken 2023, S. 1–31</w:t>
      </w:r>
    </w:p>
    <w:p>
      <w:pPr>
        <w:spacing w:after="240" w:line="240" w:lineRule="atLeast"/>
      </w:pPr>
      <w:r>
        <w:rPr>
          <w:smallCaps w:val="1"/>
          <w:caps w:val="0"/>
        </w:rPr>
        <w:t xml:space="preserve">Heselhaus Sebastian</w:t>
      </w:r>
      <w:r>
        <w:rPr/>
        <w:t xml:space="preserve">, § 1 Die öffentliche Verwaltung im Sysem des Rechts, in: Koch, Hans-Joachim/Rüdiger, Rubel/Heselhaus, Sebastian/Hofmann, Ekkehard (Hrsg.), Allgemeines Verwaltungsrecht, 4. Aufl., München 2023, S. 1–27</w:t>
      </w:r>
    </w:p>
    <w:p>
      <w:pPr>
        <w:spacing w:after="240" w:line="240" w:lineRule="atLeast"/>
      </w:pPr>
      <w:r>
        <w:rPr>
          <w:smallCaps w:val="1"/>
          <w:caps w:val="0"/>
        </w:rPr>
        <w:t xml:space="preserve">Heselhaus Sebastian</w:t>
      </w:r>
      <w:r>
        <w:rPr/>
        <w:t xml:space="preserve">, § 3 Formen des Verwaltungshandelns, in: Koch, Hans-Joachim/Rüdiger, Rubel/Heselhaus, Sebastian/Hofmann, Ekkehard (Hrsg.), Allgemeines Verwaltungsrecht, 4. Aufl., München 2023, S. 89–172</w:t>
      </w:r>
    </w:p>
    <w:p>
      <w:pPr>
        <w:spacing w:after="240" w:line="240" w:lineRule="atLeast"/>
      </w:pPr>
      <w:r>
        <w:rPr>
          <w:smallCaps w:val="1"/>
          <w:caps w:val="0"/>
        </w:rPr>
        <w:t xml:space="preserve">Heselhaus Sebastian</w:t>
      </w:r>
      <w:r>
        <w:rPr/>
        <w:t xml:space="preserve">, § 4 Die Vorbereitung von Verwaltungsentscheidungen: Das Recht des Verwaltungsverfahrens, in: Koch, Hans-Joachim/Rüdiger, Rubel/Heselhaus, Sebastian/Hofmann, Ekkehard (Hrsg.), Allgemeines Verwaltungsrecht, München 2023, S. 173–226</w:t>
      </w:r>
    </w:p>
    <w:p>
      <w:pPr>
        <w:spacing w:after="240" w:line="240" w:lineRule="atLeast"/>
      </w:pPr>
      <w:r>
        <w:rPr>
          <w:smallCaps w:val="1"/>
          <w:caps w:val="0"/>
        </w:rPr>
        <w:t xml:space="preserve">Heselhaus Sebastian</w:t>
      </w:r>
      <w:r>
        <w:rPr/>
        <w:t xml:space="preserve">, § 9 Der Ausgleich für belastendes Verwaltungshandeln, in: Koch, Hans-Joachim/Rüdiger, Rubel/Heselhaus, Sebastian/Hofmann, Ekkehard (Hrsg.), Alllgemeines Verwaltungsrecht, 4. Aufl., München 2023, S. 437–505</w:t>
      </w:r>
    </w:p>
    <w:p>
      <w:pPr>
        <w:spacing w:after="240" w:line="240" w:lineRule="atLeast"/>
      </w:pPr>
      <w:r>
        <w:rPr>
          <w:smallCaps w:val="1"/>
          <w:caps w:val="0"/>
        </w:rPr>
        <w:t xml:space="preserve">Heselhaus Sebastian</w:t>
      </w:r>
      <w:r>
        <w:rPr/>
        <w:t xml:space="preserve">, Aktuelle Entwicklungen im Europäischen Energierecht, in: Epiney, Astrid/Progin-Theuerkauf, Sarah/Zlatescu, Petru Emanuel (Hrsg.), Schweizerisches Jahrbuch für Europarecht, Zürich/Genf 2022, S. 195–222</w:t>
      </w:r>
    </w:p>
    <w:p>
      <w:pPr>
        <w:spacing w:after="240" w:line="240" w:lineRule="atLeast"/>
      </w:pPr>
      <w:r>
        <w:rPr>
          <w:smallCaps w:val="1"/>
          <w:caps w:val="0"/>
        </w:rPr>
        <w:t xml:space="preserve">Heselhaus Sebastian</w:t>
      </w:r>
      <w:r>
        <w:rPr/>
        <w:t xml:space="preserve">, The Quest for the Future Energy Mix in the EU and in Switzerland, in: Hettich, Peter/Kachi, Aya (Hrsg.), Swiss Energy Governance, Cham 2022, S. 49–66</w:t>
      </w:r>
    </w:p>
    <w:p>
      <w:pPr>
        <w:spacing w:after="240" w:line="240" w:lineRule="atLeast"/>
      </w:pPr>
      <w:r>
        <w:rPr>
          <w:smallCaps w:val="1"/>
          <w:caps w:val="0"/>
        </w:rPr>
        <w:t xml:space="preserve">Heselhaus Sebastian</w:t>
      </w:r>
      <w:r>
        <w:rPr/>
        <w:t xml:space="preserve">, Aktuelle Entwicklungen im Europäischen Energierecht, in: Epiney, Astrid/Zlâtescu. Petru Emanuel (Hrsg.), Schweizerisches Jahrbuch für Europarecht 2020/2021, Zürich/Basel/Genf/Bern 2021, S. 243–264</w:t>
      </w:r>
    </w:p>
    <w:p>
      <w:pPr>
        <w:spacing w:after="240" w:line="240" w:lineRule="atLeast"/>
      </w:pPr>
      <w:r>
        <w:rPr>
          <w:smallCaps w:val="1"/>
          <w:caps w:val="0"/>
        </w:rPr>
        <w:t xml:space="preserve">Heselhaus Sebastian</w:t>
      </w:r>
      <w:r>
        <w:rPr/>
        <w:t xml:space="preserve">, Der Einfluss der Arhus-Konvention auf die Entwicklung des allgemeinen Verfahrensrechts, Parallelen und Differenzen zwischen der Entwicklung im Schweizer Recht und im EU-Recht, in: Müller, Karin/Schwarz, Jörg (Hrsg.), Auf zu neuen Ufern! Festschrift für Walter Fellmann, Bern 2021, S. 491–505</w:t>
      </w:r>
    </w:p>
    <w:p>
      <w:pPr>
        <w:spacing w:after="240" w:line="240" w:lineRule="atLeast"/>
      </w:pPr>
      <w:r>
        <w:rPr>
          <w:smallCaps w:val="1"/>
          <w:caps w:val="0"/>
        </w:rPr>
        <w:t xml:space="preserve">Heselhaus Sebastian</w:t>
      </w:r>
      <w:r>
        <w:rPr/>
        <w:t xml:space="preserve">, Die Bedeutung des europäischen Grünen Deals für die Energiebranche in Zeiten der Pandemie, Verdeckte Revolution oder heisse Luft?, Schriften zum Energierecht, in: Heselhaus, Sebastian/Schreiber, Markus (Hrsg.), Energierechtstagung 2020, 3. Tagung zum Recht und Management der Energiewirtschaft an der Universität Luzern vom 7. Februar 2020, Bd. 17, Zürich/St. Gallen 2021, S. 113–130</w:t>
      </w:r>
    </w:p>
    <w:p>
      <w:pPr>
        <w:spacing w:after="240" w:line="240" w:lineRule="atLeast"/>
      </w:pPr>
      <w:r>
        <w:rPr>
          <w:smallCaps w:val="1"/>
          <w:caps w:val="0"/>
        </w:rPr>
        <w:t xml:space="preserve">Heselhaus Sebastian</w:t>
      </w:r>
      <w:r>
        <w:rPr/>
        <w:t xml:space="preserve">/</w:t>
      </w:r>
      <w:r>
        <w:rPr>
          <w:smallCaps w:val="1"/>
          <w:caps w:val="0"/>
        </w:rPr>
        <w:t xml:space="preserve">Renninger Philipp</w:t>
      </w:r>
      <w:r>
        <w:rPr/>
        <w:t xml:space="preserve">, Aktuelle Entwicklungen im Europäischen Energierecht, in: Epiney, Astrid/Zlătescu, Petru Emanuel (Hrsg.), Schweizerisches Jahrbuch für Europarecht 2019/2020, Zürich/Basel/Genf/Bern 2020, S. 237–260</w:t>
      </w:r>
    </w:p>
    <w:p>
      <w:pPr>
        <w:spacing w:after="240" w:line="240" w:lineRule="atLeast"/>
      </w:pPr>
      <w:r>
        <w:rPr>
          <w:smallCaps w:val="1"/>
          <w:caps w:val="0"/>
        </w:rPr>
        <w:t xml:space="preserve">Heselhaus Sebastian</w:t>
      </w:r>
      <w:r>
        <w:rPr/>
        <w:t xml:space="preserve">, § 12 Aussergerichtliche Institutionen des Grundrechtsschutzes in der EU, in: Heselhaus, Sebastian/Nowak, Carsten (Hrsg.), Handbuch der Europäischen Grundrechte, 2. Aufl., München 2020, S. 319–336</w:t>
      </w:r>
    </w:p>
    <w:p>
      <w:pPr>
        <w:spacing w:after="240" w:line="240" w:lineRule="atLeast"/>
      </w:pPr>
      <w:r>
        <w:rPr>
          <w:smallCaps w:val="1"/>
          <w:caps w:val="0"/>
        </w:rPr>
        <w:t xml:space="preserve">Heselhaus Sebastian</w:t>
      </w:r>
      <w:r>
        <w:rPr/>
        <w:t xml:space="preserve">, § 36 Eigentumsgrundrecht, in: Heselhaus, Sebastian/Nowak, Carsten (Hrsg.), Handbuch der Europäischen Grundrechte, 2. Aufl., München 2020, S. 803–839</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 38 Zugang zu Dienstleistungen von allgemeinem wirtschaftlichem Interesse, in: Heselhaus, Sebastian/Nowak, Carsten (Hrsg.), Handbuch der Europäischen Grundrechte, 2. Aufl., München 2020, S. 874–884</w:t>
      </w:r>
    </w:p>
    <w:p>
      <w:pPr>
        <w:spacing w:after="240" w:line="240" w:lineRule="atLeast"/>
      </w:pPr>
      <w:r>
        <w:rPr>
          <w:smallCaps w:val="1"/>
          <w:caps w:val="0"/>
        </w:rPr>
        <w:t xml:space="preserve">Heselhaus Sebastian</w:t>
      </w:r>
      <w:r>
        <w:rPr/>
        <w:t xml:space="preserve">, § 4 Verhältnis zu weiteren internationalen Menschenrechtsverbürgungen, in: Heselhaus, Sebastian/Nowak, Carsten (Hrsg.), Handbuch der Europäischen Grundrechte, 2. Aufl., München 2020, S. 60–86</w:t>
      </w:r>
    </w:p>
    <w:p>
      <w:pPr>
        <w:spacing w:after="240" w:line="240" w:lineRule="atLeast"/>
      </w:pPr>
      <w:r>
        <w:rPr>
          <w:smallCaps w:val="1"/>
          <w:caps w:val="0"/>
        </w:rPr>
        <w:t xml:space="preserve">Heselhaus Sebastian</w:t>
      </w:r>
      <w:r>
        <w:rPr/>
        <w:t xml:space="preserve">, § 50 Minderheitenschutz und Vielfalt der Kulturen, Religionen und Sprachen, in: Heselhaus, Sebastian/Nowak, Carsten (Hrsg.), Handbuch der Europäischen Grundrechte, 2. Aufl., München 2020, S. 1110–1139</w:t>
      </w:r>
    </w:p>
    <w:p>
      <w:pPr>
        <w:spacing w:after="240" w:line="240" w:lineRule="atLeast"/>
      </w:pPr>
      <w:r>
        <w:rPr>
          <w:smallCaps w:val="1"/>
          <w:caps w:val="0"/>
        </w:rPr>
        <w:t xml:space="preserve">Heselhaus Sebastian</w:t>
      </w:r>
      <w:r>
        <w:rPr/>
        <w:t xml:space="preserve">, § 6 Grundrechte und Kompetenzen, in: Heselhaus, Sebastian/Nowak, Carsten (Hrsg.), Handbuch der Europäischen Grundrechte, 2. Aufl., München 2020, S. 101–121</w:t>
      </w:r>
    </w:p>
    <w:p>
      <w:pPr>
        <w:spacing w:after="240" w:line="240" w:lineRule="atLeast"/>
      </w:pPr>
      <w:r>
        <w:rPr>
          <w:smallCaps w:val="1"/>
          <w:caps w:val="0"/>
        </w:rPr>
        <w:t xml:space="preserve">Heselhaus Sebastian</w:t>
      </w:r>
      <w:r>
        <w:rPr/>
        <w:t xml:space="preserve">, § 60 Zugang zu Dokumenten, in: Heselhaus, Sebastian/Nowak, Carsten (Hrsg.), Handbuch der Europäischen Grundrechte, 2. Aufl., München 2020, S. 1410–1449</w:t>
      </w:r>
    </w:p>
    <w:p>
      <w:pPr>
        <w:spacing w:after="240" w:line="240" w:lineRule="atLeast"/>
      </w:pPr>
      <w:r>
        <w:rPr>
          <w:smallCaps w:val="1"/>
          <w:caps w:val="0"/>
        </w:rPr>
        <w:t xml:space="preserve">Heselhaus Sebastian</w:t>
      </w:r>
      <w:r>
        <w:rPr/>
        <w:t xml:space="preserve">, § 61 Recht auf eine gute Verwaltung, in: Heselhaus, Sebastian/Nowak, Carsten (Hrsg.), Handbuch der Europäischen Grundrechte, 2. Aufl., München 2020, S. 1450–1495</w:t>
      </w:r>
    </w:p>
    <w:p>
      <w:pPr>
        <w:spacing w:after="240" w:line="240" w:lineRule="atLeast"/>
      </w:pPr>
      <w:r>
        <w:rPr>
          <w:smallCaps w:val="1"/>
          <w:caps w:val="0"/>
        </w:rPr>
        <w:t xml:space="preserve">Heselhaus Sebastian</w:t>
      </w:r>
      <w:r>
        <w:rPr/>
        <w:t xml:space="preserve">/</w:t>
      </w:r>
      <w:r>
        <w:rPr>
          <w:smallCaps w:val="1"/>
          <w:caps w:val="0"/>
        </w:rPr>
        <w:t xml:space="preserve">Becker Elisabeth</w:t>
      </w:r>
      <w:r>
        <w:rPr/>
        <w:t xml:space="preserve">, Aktuelle Entwicklungen im Europäischen Energierecht, in: Epiney, Astrid/Hehemann, Lena/Zlătescu, Petru Emanuel (Hrsg.), Schweizerisches Jahrbuch für Europarecht 2018/2019, Zürich/Basel/Genf/Bern 2019, S. 249–274</w:t>
      </w:r>
    </w:p>
    <w:p>
      <w:pPr>
        <w:spacing w:after="240" w:line="240" w:lineRule="atLeast"/>
      </w:pPr>
      <w:r>
        <w:rPr>
          <w:smallCaps w:val="1"/>
          <w:caps w:val="0"/>
        </w:rPr>
        <w:t xml:space="preserve">Heselhaus Sebastian</w:t>
      </w:r>
      <w:r>
        <w:rPr/>
        <w:t xml:space="preserve">, Die Religionsfreiheit nach Art. 9 EMRK als Rahmen für aktuelle Rechtsfragen in der Schweiz, in: Hänni, Julia/Heselhaus, Sebastian/Loretan, Adrian (Hrsg.), Religionsfreiheit im säkularen Staat, Aktuelle Auslegungsfragen in der Schweiz, in Deutschland und weltweit, Zürich/St. Gallen 2019, S. 19–53</w:t>
      </w:r>
    </w:p>
    <w:p>
      <w:pPr>
        <w:spacing w:after="240" w:line="240" w:lineRule="atLeast"/>
      </w:pPr>
      <w:r>
        <w:rPr>
          <w:smallCaps w:val="1"/>
          <w:caps w:val="0"/>
        </w:rPr>
        <w:t xml:space="preserve">Heselhaus Sebastian</w:t>
      </w:r>
      <w:r>
        <w:rPr/>
        <w:t xml:space="preserve">, Energiewende und Energiearmut, Zur verfassungsrechtlichen Dimension sozialstaatlicher Anliegen der Energiewende, Schriften zum Energierecht, in: Heselhaus, Sebastian/Hänni, Julia/Schreiber, Markus (Hrsg.), Rechtsfragen der Energiewirtschaft, Bd. 10, Zürich/St. Gallen 2019, S. 47–76</w:t>
      </w:r>
    </w:p>
    <w:p>
      <w:pPr>
        <w:spacing w:after="240" w:line="240" w:lineRule="atLeast"/>
      </w:pPr>
      <w:r>
        <w:rPr>
          <w:smallCaps w:val="1"/>
          <w:caps w:val="0"/>
        </w:rPr>
        <w:t xml:space="preserve">Heselhaus Sebastian</w:t>
      </w:r>
      <w:r>
        <w:rPr/>
        <w:t xml:space="preserve">/</w:t>
      </w:r>
      <w:r>
        <w:rPr>
          <w:smallCaps w:val="1"/>
          <w:caps w:val="0"/>
        </w:rPr>
        <w:t xml:space="preserve">Hemsley Ralph</w:t>
      </w:r>
      <w:r>
        <w:rPr/>
        <w:t xml:space="preserve">, Human Dignity and the European Convention on Human Rights, in: Becchi, Paolo/Mathis, Klaus (Hrsg.), Handbook of Human Dignity in Europe, Cham 2019, S. 969–992</w:t>
      </w:r>
    </w:p>
    <w:p>
      <w:pPr>
        <w:spacing w:after="240" w:line="240" w:lineRule="atLeast"/>
      </w:pPr>
      <w:r>
        <w:rPr>
          <w:smallCaps w:val="1"/>
          <w:caps w:val="0"/>
        </w:rPr>
        <w:t xml:space="preserve">Heselhaus Sebastian</w:t>
      </w:r>
      <w:r>
        <w:rPr/>
        <w:t xml:space="preserve">, Human Dignity in the EU, in: Becchi, Paolo/Mathis, Klaus (Hrsg.), Handbook of Human Dignity in Europe, Cham 2019, S. 943–967</w:t>
      </w:r>
    </w:p>
    <w:p>
      <w:pPr>
        <w:spacing w:after="240" w:line="240" w:lineRule="atLeast"/>
      </w:pPr>
      <w:r>
        <w:rPr>
          <w:smallCaps w:val="1"/>
          <w:caps w:val="0"/>
        </w:rPr>
        <w:t xml:space="preserve">Heselhaus Sebastian</w:t>
      </w:r>
      <w:r>
        <w:rPr/>
        <w:t xml:space="preserve">/</w:t>
      </w:r>
      <w:r>
        <w:rPr>
          <w:smallCaps w:val="1"/>
          <w:caps w:val="0"/>
        </w:rPr>
        <w:t xml:space="preserve">Cucè Tania</w:t>
      </w:r>
      <w:r>
        <w:rPr/>
        <w:t xml:space="preserve">, Aktuelle Entwicklungen im Europäischen Energierecht, in: Epiney, Astrid/Hehemann, Lena (Hrsg.), Schweizerisches Jahrbuch für Europarecht 2017/2018, Zürich/Basel/Genf/Bern 2018, S. 231–252</w:t>
      </w:r>
    </w:p>
    <w:p>
      <w:pPr>
        <w:spacing w:after="240" w:line="240" w:lineRule="atLeast"/>
      </w:pPr>
      <w:r>
        <w:rPr>
          <w:smallCaps w:val="1"/>
          <w:caps w:val="0"/>
        </w:rPr>
        <w:t xml:space="preserve">Heselhaus Sebastian</w:t>
      </w:r>
      <w:r>
        <w:rPr/>
        <w:t xml:space="preserve">, Energy Transition Law and Economics, Economic Analysis of Law in European Legal Scholarship, in: Mathis, Klaus/Huber, Bruce R. (Hrsg.), Energy Law and Economics, Bd. 5, Basel 2018, S. 19–41</w:t>
      </w:r>
    </w:p>
    <w:p>
      <w:pPr>
        <w:spacing w:after="240" w:line="240" w:lineRule="atLeast"/>
      </w:pPr>
      <w:r>
        <w:rPr>
          <w:smallCaps w:val="1"/>
          <w:caps w:val="0"/>
        </w:rPr>
        <w:t xml:space="preserve">Heselhaus Sebastian</w:t>
      </w:r>
      <w:r>
        <w:rPr/>
        <w:t xml:space="preserve">, Verfassungsrechtliche Grundlagen des Umweltschutzes, in: Rehbinder, Eckard/Schink, Alexander (Hrsg.), Grundzüge des Umweltrechts, 5., völlig neu bearbeitete und erweiterte Auflage, Berlin 2018, S. 3–63</w:t>
      </w:r>
    </w:p>
    <w:p>
      <w:pPr>
        <w:spacing w:after="240" w:line="240" w:lineRule="atLeast"/>
      </w:pPr>
      <w:r>
        <w:rPr>
          <w:smallCaps w:val="1"/>
          <w:caps w:val="0"/>
        </w:rPr>
        <w:t xml:space="preserve">Heselhaus Sebastian</w:t>
      </w:r>
      <w:r>
        <w:rPr/>
        <w:t xml:space="preserve">/</w:t>
      </w:r>
      <w:r>
        <w:rPr>
          <w:smallCaps w:val="1"/>
          <w:caps w:val="0"/>
        </w:rPr>
        <w:t xml:space="preserve">Cucè Tania</w:t>
      </w:r>
      <w:r>
        <w:rPr/>
        <w:t xml:space="preserve">, Aktuelle Entwicklungen im Europäischen Energierecht, in: Epiney, Astrid/Hehemann, Lena (Hrsg.), Schweizerisches Jahrbuch für Europarecht 2016/2017, Zürich/Basel/Genf/Bern 2017, S. 229–254</w:t>
      </w:r>
    </w:p>
    <w:p>
      <w:pPr>
        <w:spacing w:after="240" w:line="240" w:lineRule="atLeast"/>
      </w:pPr>
      <w:r>
        <w:rPr>
          <w:smallCaps w:val="1"/>
          <w:caps w:val="0"/>
        </w:rPr>
        <w:t xml:space="preserve">Heselhaus Sebastian</w:t>
      </w:r>
      <w:r>
        <w:rPr/>
        <w:t xml:space="preserve">, Art. 10 EUV, Demokratische Grundsätze, in: Pechstein, Matthias/Nowak, Carsten/Häde, Ulrich (Hrsg.), Frankfurter Kommentar zu EUV, GRC und AEUV, Tübingen 2017, S. 361–393</w:t>
      </w:r>
    </w:p>
    <w:p>
      <w:pPr>
        <w:spacing w:after="240" w:line="240" w:lineRule="atLeast"/>
      </w:pPr>
      <w:r>
        <w:rPr>
          <w:smallCaps w:val="1"/>
          <w:caps w:val="0"/>
        </w:rPr>
        <w:t xml:space="preserve">Heselhaus Sebastian</w:t>
      </w:r>
      <w:r>
        <w:rPr/>
        <w:t xml:space="preserve">, Art. 11 AEUV, Umweltschutz; Integrationsklausel, in: Pechstein, Matthias/Nowak, Carsten/Häde, Ulrich (Hrsg.), Frankfurter Kommentar zu EUV, GRC und AEUV, Tübingen 2017, S. 90–110</w:t>
      </w:r>
    </w:p>
    <w:p>
      <w:pPr>
        <w:spacing w:after="240" w:line="240" w:lineRule="atLeast"/>
      </w:pPr>
      <w:r>
        <w:rPr>
          <w:smallCaps w:val="1"/>
          <w:caps w:val="0"/>
        </w:rPr>
        <w:t xml:space="preserve">Heselhaus Sebastian</w:t>
      </w:r>
      <w:r>
        <w:rPr/>
        <w:t xml:space="preserve">, Art. 11 EUV, Bürgerbeteiligung, in: Pechstein, Matthias/Nowak, Carsten/Häde, Ulrich (Hrsg.), Frankfurter Kommentar zu EUV, GRC und AEUV, Tübingen 2017, S. 394–430</w:t>
      </w:r>
    </w:p>
    <w:p>
      <w:pPr>
        <w:spacing w:after="240" w:line="240" w:lineRule="atLeast"/>
      </w:pPr>
      <w:r>
        <w:rPr>
          <w:smallCaps w:val="1"/>
          <w:caps w:val="0"/>
        </w:rPr>
        <w:t xml:space="preserve">Heselhaus Sebastian</w:t>
      </w:r>
      <w:r>
        <w:rPr/>
        <w:t xml:space="preserve">, Art. 12 EUV, Beitrag der nationalen Parlamente, in: Pechstein, Matthias/Nowak, Carsten/Häde, Ulrich (Hrsg.), Frankfurter Kommentar zu EUV, GRC und AEUV, Tübingen 2017, S. 431–449</w:t>
      </w:r>
    </w:p>
    <w:p>
      <w:pPr>
        <w:spacing w:after="240" w:line="240" w:lineRule="atLeast"/>
      </w:pPr>
      <w:r>
        <w:rPr>
          <w:smallCaps w:val="1"/>
          <w:caps w:val="0"/>
        </w:rPr>
        <w:t xml:space="preserve">Heselhaus Sebastian</w:t>
      </w:r>
      <w:r>
        <w:rPr/>
        <w:t xml:space="preserve">, Art. 13 AEUV, Tierschutz; Querschnittsklausel, in: Pechstein, Matthias/Nowak, Carsten/Häde, Ulrich (Hrsg.), Frankfurter Kommentar zu EUV, GRC und AEUV, Tübingen 2017, S. 136–152</w:t>
      </w:r>
    </w:p>
    <w:p>
      <w:pPr>
        <w:spacing w:after="240" w:line="240" w:lineRule="atLeast"/>
      </w:pPr>
      <w:r>
        <w:rPr>
          <w:smallCaps w:val="1"/>
          <w:caps w:val="0"/>
        </w:rPr>
        <w:t xml:space="preserve">Heselhaus Sebastian</w:t>
      </w:r>
      <w:r>
        <w:rPr/>
        <w:t xml:space="preserve">, Art. 15 AEUV, Grundsatz der Offenheit, in: Pechstein, Matthias/Nowak, Carsten/Häde, Ulrich (Hrsg.), Frankfurter Kommentar zu EUV, GRC und AEUV, Tübingen 2017, S. 171–203</w:t>
      </w:r>
    </w:p>
    <w:p>
      <w:pPr>
        <w:spacing w:after="240" w:line="240" w:lineRule="atLeast"/>
      </w:pPr>
      <w:r>
        <w:rPr>
          <w:smallCaps w:val="1"/>
          <w:caps w:val="0"/>
        </w:rPr>
        <w:t xml:space="preserve">Heselhaus Sebastian</w:t>
      </w:r>
      <w:r>
        <w:rPr/>
        <w:t xml:space="preserve">, Art. 192 AEUV, Beschlussfassung; Finanzierung; Verursacherprinzip, in: Pechstein, Matthias/Nowak, Carsten/Häde, Ulrich (Hrsg.), Frankfurter Kommentar zu EUV, GRC und AEUV, Tübingen 2017, S. 1369–1408</w:t>
      </w:r>
    </w:p>
    <w:p>
      <w:pPr>
        <w:spacing w:after="240" w:line="240" w:lineRule="atLeast"/>
      </w:pPr>
      <w:r>
        <w:rPr>
          <w:smallCaps w:val="1"/>
          <w:caps w:val="0"/>
        </w:rPr>
        <w:t xml:space="preserve">Heselhaus Sebastian</w:t>
      </w:r>
      <w:r>
        <w:rPr/>
        <w:t xml:space="preserve">, Art. 20 AEUV, Unionsbürgerschaft, in: Pechstein, Matthias/Nowak, Carsten/Häde, Ulrich (Hrsg.), Frankfurter Kommentar zu EUV, GRC und AEUV, Tübingen 2017, S. 293–312</w:t>
      </w:r>
    </w:p>
    <w:p>
      <w:pPr>
        <w:spacing w:after="240" w:line="240" w:lineRule="atLeast"/>
      </w:pPr>
      <w:r>
        <w:rPr>
          <w:smallCaps w:val="1"/>
          <w:caps w:val="0"/>
        </w:rPr>
        <w:t xml:space="preserve">Heselhaus Sebastian</w:t>
      </w:r>
      <w:r>
        <w:rPr/>
        <w:t xml:space="preserve">, Art. 20 GRC, Gleichheit vor dem Gesetz, in: Pechstein, Matthias/Nowak, Carsten/Häde, Ulrich (Hrsg.), Frankfurter Kommentar zu EUV, GRC und AEUV, Tübingen 2017, S. 1276–1297</w:t>
      </w:r>
    </w:p>
    <w:p>
      <w:pPr>
        <w:spacing w:after="240" w:line="240" w:lineRule="atLeast"/>
      </w:pPr>
      <w:r>
        <w:rPr>
          <w:smallCaps w:val="1"/>
          <w:caps w:val="0"/>
        </w:rPr>
        <w:t xml:space="preserve">Heselhaus Sebastian</w:t>
      </w:r>
      <w:r>
        <w:rPr/>
        <w:t xml:space="preserve">, Art. 21 AEUV, Unionsbürgerliches Freizügigkeitsrecht, in: Pechstein, Matthias/Nowak, Carsten/Häde, Ulrich (Hrsg.), Frankfurter Kommentar zu EUV, GRC und AEUV, Tübingen 2017, S. 313–332</w:t>
      </w:r>
    </w:p>
    <w:p>
      <w:pPr>
        <w:spacing w:after="240" w:line="240" w:lineRule="atLeast"/>
      </w:pPr>
      <w:r>
        <w:rPr>
          <w:smallCaps w:val="1"/>
          <w:caps w:val="0"/>
        </w:rPr>
        <w:t xml:space="preserve">Heselhaus Sebastian</w:t>
      </w:r>
      <w:r>
        <w:rPr/>
        <w:t xml:space="preserve">, Art. 22 AEUV, Aktives und passives Wahlrecht bei den Wahlen zum Europäischen Parlament, in: Pechstein, Matthias/Nowak, Carsten/Häde, Ulrich (Hrsg.), Frankfurter Kommentar zu EUV, GRC und AEUV, Tübingen 2017, S. 333–347</w:t>
      </w:r>
    </w:p>
    <w:p>
      <w:pPr>
        <w:spacing w:after="240" w:line="240" w:lineRule="atLeast"/>
      </w:pPr>
      <w:r>
        <w:rPr>
          <w:smallCaps w:val="1"/>
          <w:caps w:val="0"/>
        </w:rPr>
        <w:t xml:space="preserve">Heselhaus Sebastian</w:t>
      </w:r>
      <w:r>
        <w:rPr/>
        <w:t xml:space="preserve">, Art. 22 AEUV, Wahlrecht, in: Pechstein, Matthias/Nowak, Carsten/Häde, Ulrich (Hrsg.), Frankfurter Kommentar zu EUV, GRC und AEUV, 2. Aufl., Tübingen 2017, S. 340–355</w:t>
      </w:r>
    </w:p>
    <w:p>
      <w:pPr>
        <w:spacing w:after="240" w:line="240" w:lineRule="atLeast"/>
      </w:pPr>
      <w:r>
        <w:rPr>
          <w:smallCaps w:val="1"/>
          <w:caps w:val="0"/>
        </w:rPr>
        <w:t xml:space="preserve">Heselhaus Sebastian</w:t>
      </w:r>
      <w:r>
        <w:rPr/>
        <w:t xml:space="preserve">, Art. 23 AEUV, Recht auf diplomatischen Schutz, in: Pechstein, Matthias/Nowak, Carsten/Häde, Ulrich (Hrsg.), Frankfurter Kommentar zu EUV, GRC und AEUV, Tübingen 2017, S. 348–370</w:t>
      </w:r>
    </w:p>
    <w:p>
      <w:pPr>
        <w:spacing w:after="240" w:line="240" w:lineRule="atLeast"/>
      </w:pPr>
      <w:r>
        <w:rPr>
          <w:smallCaps w:val="1"/>
          <w:caps w:val="0"/>
        </w:rPr>
        <w:t xml:space="preserve">Heselhaus Sebastian</w:t>
      </w:r>
      <w:r>
        <w:rPr/>
        <w:t xml:space="preserve">, Art. 24 AEUV, Petitionsrecht, in: Pechstein, Matthias/Nowak, Carsten/Häde, Ulrich (Hrsg.), Frankfurter Kommentar zu EUV, GRC und AEUV, Tübingen 2017, S. 371–381</w:t>
      </w:r>
    </w:p>
    <w:p>
      <w:pPr>
        <w:spacing w:after="240" w:line="240" w:lineRule="atLeast"/>
      </w:pPr>
      <w:r>
        <w:rPr>
          <w:smallCaps w:val="1"/>
          <w:caps w:val="0"/>
        </w:rPr>
        <w:t xml:space="preserve">Heselhaus Sebastian</w:t>
      </w:r>
      <w:r>
        <w:rPr/>
        <w:t xml:space="preserve">, Art. 25 AEUV, Fortentwicklung der Unionsbürgerschaft, in: Pechstein, Matthias/Nowak, Carsten/Häde, Ulrich (Hrsg.), Frankfurter Kommentar zu EUV, GRC und AEUV, Tübingen 2017, S. 382–392</w:t>
      </w:r>
    </w:p>
    <w:p>
      <w:pPr>
        <w:spacing w:after="240" w:line="240" w:lineRule="atLeast"/>
      </w:pPr>
      <w:r>
        <w:rPr>
          <w:smallCaps w:val="1"/>
          <w:caps w:val="0"/>
        </w:rPr>
        <w:t xml:space="preserve">Heselhaus Sebastian</w:t>
      </w:r>
      <w:r>
        <w:rPr/>
        <w:t xml:space="preserve">, Art. 3 GRC, Recht auf Unversehrtheit, in: Pechstein, Matthias/Nowak, Carsten/Häde, Ulrich (Hrsg.), Frankfurter Kommentar zu EUV, GRC und AEUV, Tübingen 2017, S. 1036–1052</w:t>
      </w:r>
    </w:p>
    <w:p>
      <w:pPr>
        <w:spacing w:after="240" w:line="240" w:lineRule="atLeast"/>
      </w:pPr>
      <w:r>
        <w:rPr>
          <w:smallCaps w:val="1"/>
          <w:caps w:val="0"/>
        </w:rPr>
        <w:t xml:space="preserve">Heselhaus Sebastian</w:t>
      </w:r>
      <w:r>
        <w:rPr/>
        <w:t xml:space="preserve">, Art. 342 AEUV, Sprachenfrage; Amts- und Arbeitssprachen, in: Pechstein, Matthias/Nowak, Carsten/Häde, Ulrich (Hrsg.), Frankfurter Kommentar zu EUV, GRC und AEUV, Tübingen 2017, S. 1471–1485</w:t>
      </w:r>
    </w:p>
    <w:p>
      <w:pPr>
        <w:spacing w:after="240" w:line="240" w:lineRule="atLeast"/>
      </w:pPr>
      <w:r>
        <w:rPr>
          <w:smallCaps w:val="1"/>
          <w:caps w:val="0"/>
        </w:rPr>
        <w:t xml:space="preserve">Heselhaus Sebastian</w:t>
      </w:r>
      <w:r>
        <w:rPr/>
        <w:t xml:space="preserve">, Art. 358 AEUV, Verbindlicher Wortlaut; Hinterlegung, in: Pechstein, Matthias/Nowak, Carsten/Häde, Ulrich (Hrsg.), Frankfurter Kommentar zu EUV, GRC und AEUV, Tübingen 2017, S. 1622 ff.</w:t>
      </w:r>
    </w:p>
    <w:p>
      <w:pPr>
        <w:spacing w:after="240" w:line="240" w:lineRule="atLeast"/>
      </w:pPr>
      <w:r>
        <w:rPr>
          <w:smallCaps w:val="1"/>
          <w:caps w:val="0"/>
        </w:rPr>
        <w:t xml:space="preserve">Heselhaus Sebastian</w:t>
      </w:r>
      <w:r>
        <w:rPr/>
        <w:t xml:space="preserve">, Art. 37 GRC, Umweltschutz, in: Pechstein, Matthias/Nowak, Carsten/Häde, Ulrich (Hrsg.), Frankfurter Kommentar zu EUV, GRC und AEUV, Tübingen 2017, S. 1445–1456</w:t>
      </w:r>
    </w:p>
    <w:p>
      <w:pPr>
        <w:spacing w:after="240" w:line="240" w:lineRule="atLeast"/>
      </w:pPr>
      <w:r>
        <w:rPr>
          <w:smallCaps w:val="1"/>
          <w:caps w:val="0"/>
        </w:rPr>
        <w:t xml:space="preserve">Heselhaus Sebastian</w:t>
      </w:r>
      <w:r>
        <w:rPr/>
        <w:t xml:space="preserve">, Art. 39 GRC, Aktives und passives Wahlrecht bei den Wahlen zum Europäischen Parlament, in: Pechstein, Matthias/Nowak, Carsten/Häde, Ulrich (Hrsg.), Frankfurter Kommentar zu EUV, GRC und AEUV, Tübingen 2017, S. 1471–1484</w:t>
      </w:r>
    </w:p>
    <w:p>
      <w:pPr>
        <w:spacing w:after="240" w:line="240" w:lineRule="atLeast"/>
      </w:pPr>
      <w:r>
        <w:rPr>
          <w:smallCaps w:val="1"/>
          <w:caps w:val="0"/>
        </w:rPr>
        <w:t xml:space="preserve">Heselhaus Sebastian</w:t>
      </w:r>
      <w:r>
        <w:rPr/>
        <w:t xml:space="preserve">, Art. 40 GRC, Aktives und passives Wahlrecht bei den Kommunalwahlen, in: Pechstein, Matthias/Nowak, Carsten/Häde, Ulrich (Hrsg.), Frankfurter Kommentar zu EUV, GRC und AEUV, Tübingen 2017, S. 1485–1494</w:t>
      </w:r>
    </w:p>
    <w:p>
      <w:pPr>
        <w:spacing w:after="240" w:line="240" w:lineRule="atLeast"/>
      </w:pPr>
      <w:r>
        <w:rPr>
          <w:smallCaps w:val="1"/>
          <w:caps w:val="0"/>
        </w:rPr>
        <w:t xml:space="preserve">Heselhaus Sebastian</w:t>
      </w:r>
      <w:r>
        <w:rPr/>
        <w:t xml:space="preserve">, Art. 42 GRC, Recht auf Zugang zu Dokumenten, in: Pechstein, Matthias/Nowak, Carsten/Häde, Ulrich (Hrsg.), Frankfurter Kommentar zu EUV, GRC und AEUV, Tübingen 2017, S. 1508–1512</w:t>
      </w:r>
    </w:p>
    <w:p>
      <w:pPr>
        <w:spacing w:after="240" w:line="240" w:lineRule="atLeast"/>
      </w:pPr>
      <w:r>
        <w:rPr>
          <w:smallCaps w:val="1"/>
          <w:caps w:val="0"/>
        </w:rPr>
        <w:t xml:space="preserve">Heselhaus Sebastian</w:t>
      </w:r>
      <w:r>
        <w:rPr/>
        <w:t xml:space="preserve">, Art. 43 GRC, Der Europäische Bürgerbeauftragte, in: Pechstein, Matthias/Nowak, Carsten/Häde, Ulrich (Hrsg.), Frankfurter Kommentar zu EUV, GRC und AEUV, Tübingen 2017, S. 1513–1522</w:t>
      </w:r>
    </w:p>
    <w:p>
      <w:pPr>
        <w:spacing w:after="240" w:line="240" w:lineRule="atLeast"/>
      </w:pPr>
      <w:r>
        <w:rPr>
          <w:smallCaps w:val="1"/>
          <w:caps w:val="0"/>
        </w:rPr>
        <w:t xml:space="preserve">Heselhaus Sebastian</w:t>
      </w:r>
      <w:r>
        <w:rPr/>
        <w:t xml:space="preserve">, Art. 44 GRC, Petitionsrecht, in: Pechstein, Matthias/Nowak, Carsten/Häde, Ulrich (Hrsg.), Frankfurter Kommentar zu EUV, GRC und AEUV, Tübingen 2017, S. 1523–1530</w:t>
      </w:r>
    </w:p>
    <w:p>
      <w:pPr>
        <w:spacing w:after="240" w:line="240" w:lineRule="atLeast"/>
      </w:pPr>
      <w:r>
        <w:rPr>
          <w:smallCaps w:val="1"/>
          <w:caps w:val="0"/>
        </w:rPr>
        <w:t xml:space="preserve">Heselhaus Sebastian</w:t>
      </w:r>
      <w:r>
        <w:rPr/>
        <w:t xml:space="preserve">, Art. 45 GRC, Freizügigkeit und Aufenthaltsfreiheit, in: Pechstein, Matthias/Nowak, Carsten/Häde, Ulrich (Hrsg.), Frankfurter Kommentar zu EUV, GRC und AEUV, Tübingen 2017, S. 1531–1540</w:t>
      </w:r>
    </w:p>
    <w:p>
      <w:pPr>
        <w:spacing w:after="240" w:line="240" w:lineRule="atLeast"/>
      </w:pPr>
      <w:r>
        <w:rPr>
          <w:smallCaps w:val="1"/>
          <w:caps w:val="0"/>
        </w:rPr>
        <w:t xml:space="preserve">Heselhaus Sebastian</w:t>
      </w:r>
      <w:r>
        <w:rPr/>
        <w:t xml:space="preserve">, Art. 46 GRC, Diplomatischer und konsularischer Schutz, in: Pechstein, Matthias/Nowak, Carsten/Häde, Ulrich (Hrsg.), Frankfurter Kommentar zu EUV, GRC und AEUV, Tübingen 2017, S. 1541–1547</w:t>
      </w:r>
    </w:p>
    <w:p>
      <w:pPr>
        <w:spacing w:after="240" w:line="240" w:lineRule="atLeast"/>
      </w:pPr>
      <w:r>
        <w:rPr>
          <w:smallCaps w:val="1"/>
          <w:caps w:val="0"/>
        </w:rPr>
        <w:t xml:space="preserve">Heselhaus Sebastian</w:t>
      </w:r>
      <w:r>
        <w:rPr/>
        <w:t xml:space="preserve">, Art. 55 EUV, Verbindlicher Wortlaut; Hinterlegung, in: Pechstein, Matthias/Nowak, Carsten/Häde, Ulrich (Hrsg.), Frankfurter Kommentar zu EUV, GRC und AEUV, Tübingen 2017, S. 949–962</w:t>
      </w:r>
    </w:p>
    <w:p>
      <w:pPr>
        <w:spacing w:after="240" w:line="240" w:lineRule="atLeast"/>
      </w:pPr>
      <w:r>
        <w:rPr>
          <w:smallCaps w:val="1"/>
          <w:caps w:val="0"/>
        </w:rPr>
        <w:t xml:space="preserve">Heselhaus Sebastian</w:t>
      </w:r>
      <w:r>
        <w:rPr/>
        <w:t xml:space="preserve">, Art. 9 EUV, Gleichheit, Unionsbürgerschaft, in: Pechstein, Matthias/Nowak, Carsten/Häde, Ulrich (Hrsg.), Frankfurter Kommentar zu EUV, GRC und AEUV, Tübingen 2017, S. 344–360</w:t>
      </w:r>
    </w:p>
    <w:p>
      <w:pPr>
        <w:spacing w:after="240" w:line="240" w:lineRule="atLeast"/>
      </w:pPr>
      <w:r>
        <w:rPr>
          <w:smallCaps w:val="1"/>
          <w:caps w:val="0"/>
        </w:rPr>
        <w:t xml:space="preserve">Heselhaus Sebastian</w:t>
      </w:r>
      <w:r>
        <w:rPr/>
        <w:t xml:space="preserve">, Environmental Law and Economics in Europe, in: Mathis, Klaus/Huber, Bruce R. (Hrsg.), Environmental Law and Economics, Economic Analysis of Law in European Legal Scholarship, Bd. 4, Cham 2017, S. 59–81</w:t>
      </w:r>
    </w:p>
    <w:p>
      <w:pPr>
        <w:spacing w:after="240" w:line="240" w:lineRule="atLeast"/>
      </w:pPr>
      <w:r>
        <w:rPr>
          <w:smallCaps w:val="1"/>
          <w:caps w:val="0"/>
        </w:rPr>
        <w:t xml:space="preserve">Heselhaus Sebastian</w:t>
      </w:r>
      <w:r>
        <w:rPr/>
        <w:t xml:space="preserve">/</w:t>
      </w:r>
      <w:r>
        <w:rPr>
          <w:smallCaps w:val="1"/>
          <w:caps w:val="0"/>
        </w:rPr>
        <w:t xml:space="preserve">Weiser Eric</w:t>
      </w:r>
      <w:r>
        <w:rPr/>
        <w:t xml:space="preserve">, Aktuelle Entwicklungen im Europäischen Energierecht, in: Epiney, Astrid (Hrsg.), Schweizerisches Jahrbuch für Europarecht 2015/2016, Zürich/Basel/Genf/Bern 2016, S. 215–244</w:t>
      </w:r>
    </w:p>
    <w:p>
      <w:pPr>
        <w:spacing w:after="240" w:line="240" w:lineRule="atLeast"/>
      </w:pPr>
      <w:r>
        <w:rPr>
          <w:smallCaps w:val="1"/>
          <w:caps w:val="0"/>
        </w:rPr>
        <w:t xml:space="preserve">Heselhaus Sebastian</w:t>
      </w:r>
      <w:r>
        <w:rPr/>
        <w:t xml:space="preserve">, European Union Agency for Fundamental Rights and the protection of minorities, in: Ziegler, Andreas R./Kuffer Julie (Hrsg.), Les Minorités et le Droit / Minorities and the Law, Mélanges enl’honneur du Professeur Barbara Wilson / Liber Amicorum for Professor Barbara Wilson, Genève/Zurich/Bâle 2016, S. 23–52</w:t>
      </w:r>
    </w:p>
    <w:p>
      <w:pPr>
        <w:spacing w:after="240" w:line="240" w:lineRule="atLeast"/>
      </w:pPr>
      <w:r>
        <w:rPr>
          <w:smallCaps w:val="1"/>
          <w:caps w:val="0"/>
        </w:rPr>
        <w:t xml:space="preserve">Heselhaus Sebastian</w:t>
      </w:r>
      <w:r>
        <w:rPr/>
        <w:t xml:space="preserve">/</w:t>
      </w:r>
      <w:r>
        <w:rPr>
          <w:smallCaps w:val="1"/>
          <w:caps w:val="0"/>
        </w:rPr>
        <w:t xml:space="preserve">Knaul Adrian</w:t>
      </w:r>
      <w:r>
        <w:rPr/>
        <w:t xml:space="preserve">, Aktuelle Entwicklungen im Europäischen Energierecht, in: Epiney, Astrid/Kern, Markus/Hehemann, Lena (Hrsg.), Schweizer Jahrbuch für Europarecht 2014/2015, Zürich/Basel/Genf/Bern 2015, S. 253–280</w:t>
      </w:r>
    </w:p>
    <w:p>
      <w:pPr>
        <w:spacing w:after="240" w:line="240" w:lineRule="atLeast"/>
      </w:pPr>
      <w:r>
        <w:rPr>
          <w:smallCaps w:val="1"/>
          <w:caps w:val="0"/>
        </w:rPr>
        <w:t xml:space="preserve">Heselhaus Sebastian</w:t>
      </w:r>
      <w:r>
        <w:rPr/>
        <w:t xml:space="preserve">, Effektiver Rechtsschutz im Lichte des Unionsrechts und der Aarhus-Konvention, in: Institut für Umweltrecht (Hrsg.), Jahrbuch des österreichischen und europäischen Umweltrechts, Wien 2015, S. 91–116</w:t>
      </w:r>
    </w:p>
    <w:p>
      <w:pPr>
        <w:spacing w:after="240" w:line="240" w:lineRule="atLeast"/>
      </w:pPr>
      <w:r>
        <w:rPr>
          <w:smallCaps w:val="1"/>
          <w:caps w:val="0"/>
        </w:rPr>
        <w:t xml:space="preserve">Heselhaus Sebastian</w:t>
      </w:r>
      <w:r>
        <w:rPr/>
        <w:t xml:space="preserve">, Europäisches Energie- und Umweltrecht - Emanzipation vom umweltrechtlichen Primat, in: Carsten Nowak (Hrsg.), Konsolidierung und Entwicklungsperspektiven des Europäischen Umweltrechts, Baden-Baden 2015, S. 327–356</w:t>
      </w:r>
    </w:p>
    <w:p>
      <w:pPr>
        <w:spacing w:after="240" w:line="240" w:lineRule="atLeast"/>
      </w:pPr>
      <w:r>
        <w:rPr>
          <w:smallCaps w:val="1"/>
          <w:caps w:val="0"/>
        </w:rPr>
        <w:t xml:space="preserve">Heselhaus Sebastian</w:t>
      </w:r>
      <w:r>
        <w:rPr/>
        <w:t xml:space="preserve">, Aktuelle Entwicklungen im Europäischen Energierecht, in: Epiney, Astrid/Diezig, Stefan (Hrsg.), Schweizer Jahrbuch für Europarecht 2013/2014, Zürich/Basel/Genf/Bern 2014, S. 201–221</w:t>
      </w:r>
    </w:p>
    <w:p>
      <w:pPr>
        <w:spacing w:after="240" w:line="240" w:lineRule="atLeast"/>
      </w:pPr>
      <w:r>
        <w:rPr>
          <w:smallCaps w:val="1"/>
          <w:caps w:val="0"/>
        </w:rPr>
        <w:t xml:space="preserve">Heselhaus Sebastian</w:t>
      </w:r>
      <w:r>
        <w:rPr/>
        <w:t xml:space="preserve">, Differenzierungen im Klima- und Energierecht vor den europäischen Gerichten - Emissionshandelsystem und Erneuerbare-Energien-Gesetz, in: Daniela Heid/Rüdiger Stotz/Arsène Verny (Hrsg.), Festschrift für Manfred A. Dauses zum 70. Geburtstag, München 2014, S. 137–152</w:t>
      </w:r>
    </w:p>
    <w:p>
      <w:pPr>
        <w:spacing w:after="240" w:line="240" w:lineRule="atLeast"/>
      </w:pPr>
      <w:r>
        <w:rPr>
          <w:smallCaps w:val="1"/>
          <w:caps w:val="0"/>
        </w:rPr>
        <w:t xml:space="preserve">Heselhaus Sebastian</w:t>
      </w:r>
      <w:r>
        <w:rPr/>
        <w:t xml:space="preserve">, Frühe Öffentlichkeitsbeteiligung und Energiewende, in: Ewer/Ramsauer/Reese/Rubel (Hrsg.), Methodik - Ordnung - Umwelt, Festschrift für Hans-Joachim Koch, Berlin 2014, S. 297–313</w:t>
      </w:r>
    </w:p>
    <w:p>
      <w:pPr>
        <w:spacing w:after="240" w:line="240" w:lineRule="atLeast"/>
      </w:pPr>
      <w:r>
        <w:rPr>
          <w:smallCaps w:val="1"/>
          <w:caps w:val="0"/>
        </w:rPr>
        <w:t xml:space="preserve">Heselhaus Sebastian</w:t>
      </w:r>
      <w:r>
        <w:rPr/>
        <w:t xml:space="preserve">, Aktuelle Entwicklungen im Europäischen Energierecht, in: Epiney, Astrid/Diezig, Stefan (Hrsg.), Schweizer Jahrbuch für Europarecht 2012/2013, Zürich/Basel/Genf/Bern 2013, S. 263–285</w:t>
      </w:r>
    </w:p>
    <w:p>
      <w:pPr>
        <w:spacing w:after="240" w:line="240" w:lineRule="atLeast"/>
      </w:pPr>
      <w:r>
        <w:rPr>
          <w:smallCaps w:val="1"/>
          <w:caps w:val="0"/>
        </w:rPr>
        <w:t xml:space="preserve">Heselhaus Sebastian</w:t>
      </w:r>
      <w:r>
        <w:rPr/>
        <w:t xml:space="preserve">/</w:t>
      </w:r>
      <w:r>
        <w:rPr>
          <w:smallCaps w:val="1"/>
          <w:caps w:val="0"/>
        </w:rPr>
        <w:t xml:space="preserve">Pegorier Clotilde</w:t>
      </w:r>
      <w:r>
        <w:rPr/>
        <w:t xml:space="preserve">, La pénalisation du négationnisme en Europe, in: Epiney, Astrid/Fasnacht, Tobias (Hrsg.), Schweizer Jahrbuch für Europarecht 2011/2012, Zürich 2012, S. 355–375</w:t>
      </w:r>
    </w:p>
    <w:p>
      <w:pPr>
        <w:spacing w:after="240" w:line="240" w:lineRule="atLeast"/>
      </w:pPr>
      <w:r>
        <w:rPr>
          <w:smallCaps w:val="1"/>
          <w:caps w:val="0"/>
        </w:rPr>
        <w:t xml:space="preserve">Heselhaus Sebastian</w:t>
      </w:r>
      <w:r>
        <w:rPr/>
        <w:t xml:space="preserve">, Verfassungsrechtliche Grundlagen des Umweltschutzes, in: K. Hansmann/D. Sellner (Hrsg.), Grundzüge des Umweltrechts, 4. Aufl., Berlin 2012, S. 3–54</w:t>
      </w:r>
    </w:p>
    <w:p>
      <w:pPr>
        <w:spacing w:after="240" w:line="240" w:lineRule="atLeast"/>
      </w:pPr>
      <w:r>
        <w:rPr>
          <w:smallCaps w:val="1"/>
          <w:caps w:val="0"/>
        </w:rPr>
        <w:t xml:space="preserve">Heselhaus Sebastian</w:t>
      </w:r>
      <w:r>
        <w:rPr/>
        <w:t xml:space="preserve">, Das Verbandsbeschwerderecht im Vorfeld der Ratifikation der Aarhus-Konvention durch die Schweiz, Luzerner Beiträge zur Rechtswissenschaft, in: Stephen Berti/Felix Bommer (Hrsg.), Verfahrensrecht am Beginn einer neuen Epoche, Festgabe zum Schweizerischen Juristentag 2011, Bd. 53, Zürich 2011, S. 1–31</w:t>
      </w:r>
    </w:p>
    <w:p>
      <w:pPr>
        <w:spacing w:after="240" w:line="240" w:lineRule="atLeast"/>
      </w:pPr>
      <w:r>
        <w:rPr>
          <w:smallCaps w:val="1"/>
          <w:caps w:val="0"/>
        </w:rPr>
        <w:t xml:space="preserve">Heselhaus Sebastian</w:t>
      </w:r>
      <w:r>
        <w:rPr/>
        <w:t xml:space="preserve">, Die Bedeutung der Europäischen Chemikalienagentur aus schweizerischer Sicht, in: Epiney, Astrid/Fasnacht, Tobias (Hrsg.), Schweizerisches Jahrbuch für Europarecht, Zürich 2011, S. 359–380</w:t>
      </w:r>
    </w:p>
    <w:p>
      <w:pPr>
        <w:spacing w:after="240" w:line="240" w:lineRule="atLeast"/>
      </w:pPr>
      <w:r>
        <w:rPr>
          <w:smallCaps w:val="1"/>
          <w:caps w:val="0"/>
        </w:rPr>
        <w:t xml:space="preserve">Heselhaus Sebastian</w:t>
      </w:r>
      <w:r>
        <w:rPr/>
        <w:t xml:space="preserve">/</w:t>
      </w:r>
      <w:r>
        <w:rPr>
          <w:smallCaps w:val="1"/>
          <w:caps w:val="0"/>
        </w:rPr>
        <w:t xml:space="preserve">Seiberth Corinna</w:t>
      </w:r>
      <w:r>
        <w:rPr/>
        <w:t xml:space="preserve">/</w:t>
      </w:r>
      <w:r>
        <w:rPr>
          <w:smallCaps w:val="1"/>
          <w:caps w:val="0"/>
        </w:rPr>
        <w:t xml:space="preserve">Langensand Luca</w:t>
      </w:r>
      <w:r>
        <w:rPr/>
        <w:t xml:space="preserve">, In dubio pro populo? Gemeindefusion und Ungültigerklärung von Gemeindeinitiativen, in: Martina Caroni/Sebastian Heselhaus/Klaus Mathis/Roland Norer (Hrsg.), Auf der Scholle und in lichten Höhen, Festschrift für Paul Richli zum 65. Geburtstag, Zürich/St. Gallen 2011, S. 255–281, https://www.dike.ch/Verwaltungsrecht-Staatsrecht-Rechtsetzungslehre</w:t>
      </w:r>
    </w:p>
    <w:p>
      <w:pPr>
        <w:spacing w:after="240" w:line="240" w:lineRule="atLeast"/>
      </w:pPr>
      <w:r>
        <w:rPr>
          <w:smallCaps w:val="1"/>
          <w:caps w:val="0"/>
        </w:rPr>
        <w:t xml:space="preserve">Heselhaus Sebastian</w:t>
      </w:r>
      <w:r>
        <w:rPr/>
        <w:t xml:space="preserve">, Universality of International Law in the 20th Century, in: Thilo Marauhn/Heinhard Steiger (Hrsg.), Universality and Continuity in international Law, Den Haag 2011, S. 471–483</w:t>
      </w:r>
    </w:p>
    <w:p>
      <w:pPr>
        <w:spacing w:after="240" w:line="240" w:lineRule="atLeast"/>
      </w:pPr>
      <w:r>
        <w:rPr>
          <w:smallCaps w:val="1"/>
          <w:caps w:val="0"/>
        </w:rPr>
        <w:t xml:space="preserve">Heselhaus Sebastian</w:t>
      </w:r>
      <w:r>
        <w:rPr/>
        <w:t xml:space="preserve">, Der Fachdiskurs im Konstitutionalisierungsprozess der Europäischen Menschenrechtskonvention (EMRK) am Beispiel Deutschlands und der Schweiz, in: E. Sileikis (Hrsg.), Verfassungsentwicklung in Litauen und Polen im Kontext der Europäisierung, Vilnius 2010, S. 186–212</w:t>
      </w:r>
    </w:p>
    <w:p>
      <w:pPr>
        <w:spacing w:after="240" w:line="240" w:lineRule="atLeast"/>
      </w:pPr>
      <w:r>
        <w:rPr>
          <w:smallCaps w:val="1"/>
          <w:caps w:val="0"/>
        </w:rPr>
        <w:t xml:space="preserve">Heselhaus Sebastian</w:t>
      </w:r>
      <w:r>
        <w:rPr/>
        <w:t xml:space="preserve">/</w:t>
      </w:r>
      <w:r>
        <w:rPr>
          <w:smallCaps w:val="1"/>
          <w:caps w:val="0"/>
        </w:rPr>
        <w:t xml:space="preserve">Scherer J</w:t>
      </w:r>
      <w:r>
        <w:rPr/>
        <w:t xml:space="preserve">, Umweltrecht, in: Dauses (Hrsg.), Handbuch des EG-Wirtschaftsrechts, 4. Aufl., München 2010</w:t>
      </w:r>
    </w:p>
    <w:p>
      <w:pPr>
        <w:spacing w:after="240" w:line="240" w:lineRule="atLeast"/>
      </w:pPr>
      <w:r>
        <w:rPr>
          <w:smallCaps w:val="1"/>
          <w:caps w:val="0"/>
        </w:rPr>
        <w:t xml:space="preserve">Heselhaus Sebastian</w:t>
      </w:r>
      <w:r>
        <w:rPr/>
        <w:t xml:space="preserve">/</w:t>
      </w:r>
      <w:r>
        <w:rPr>
          <w:smallCaps w:val="1"/>
          <w:caps w:val="0"/>
        </w:rPr>
        <w:t xml:space="preserve">Seiberth Corinna</w:t>
      </w:r>
      <w:r>
        <w:rPr/>
        <w:t xml:space="preserve">, Darf "Dummheit" bestraft werden? Zur juristischen Kontrolle von Bewertungen, Luzerner Beiträge zur Rechtswissenschaft, in: Ackermann, Jürg-Beat/Bommer Felix (Hrsg.), Liber Amicorum für Dr. Martin Vonplon, Bd. 40, Zürich 2009, S. 173–192</w:t>
      </w:r>
    </w:p>
    <w:p>
      <w:pPr>
        <w:spacing w:after="240" w:line="240" w:lineRule="atLeast"/>
      </w:pPr>
      <w:r>
        <w:rPr>
          <w:smallCaps w:val="1"/>
          <w:caps w:val="0"/>
        </w:rPr>
        <w:t xml:space="preserve">Heselhaus Sebastian</w:t>
      </w:r>
      <w:r>
        <w:rPr/>
        <w:t xml:space="preserve">, Ungerechtigkeit durch Untätigkeit? Das Nicht-Handeln des Sicherheitsrates der Vereinten Nationen, in: Bruha, Thomas/Heselhaus, Sebastian/Marauhn, Thilo (Hrsg.), Legalität, Legitimität und Moral - Können Gerechtigkeitspostulate Kriege rechtfertigen?, Tübingen 2008, S. 211–248</w:t>
      </w:r>
    </w:p>
    <w:p>
      <w:pPr>
        <w:spacing w:after="240" w:line="240" w:lineRule="atLeast"/>
      </w:pPr>
      <w:r>
        <w:rPr>
          <w:smallCaps w:val="1"/>
          <w:caps w:val="0"/>
        </w:rPr>
        <w:t xml:space="preserve">Heselhaus Sebastian</w:t>
      </w:r>
      <w:r>
        <w:rPr/>
        <w:t xml:space="preserve">, Der Luftverkehr im Netz des EU-Emissionshandels, in: Epiney, Astrid/Wyssling, Markus (Hrsg.), Schweizerisches Jahrbuch für Europarecht, Bern 2007, S. 305–328</w:t>
      </w:r>
    </w:p>
    <w:p>
      <w:pPr>
        <w:spacing w:after="240" w:line="240" w:lineRule="atLeast"/>
      </w:pPr>
      <w:r>
        <w:rPr>
          <w:smallCaps w:val="1"/>
          <w:caps w:val="0"/>
        </w:rPr>
        <w:t xml:space="preserve">Heselhaus Sebastian</w:t>
      </w:r>
      <w:r>
        <w:rPr/>
        <w:t xml:space="preserve">, Verfassungsrechtliche Grundlagen des Umweltschutzes, in: Hansmann, Klaus/Sellner, Dieter (Hrsg.), Grundzüge des Umweltrechts, 3. Aufl., Berlin 2007, S. 3–50</w:t>
      </w:r>
    </w:p>
    <w:p>
      <w:pPr>
        <w:spacing w:after="240" w:line="240" w:lineRule="atLeast"/>
      </w:pPr>
      <w:r>
        <w:rPr>
          <w:smallCaps w:val="1"/>
          <w:caps w:val="0"/>
        </w:rPr>
        <w:t xml:space="preserve">Heselhaus Sebastian</w:t>
      </w:r>
      <w:r>
        <w:rPr/>
        <w:t xml:space="preserve">, Eigentumsgrundrecht, in: Heselhaus, Sebastian/Nowak, Carsten (Hrsg.), Handbuch der Europäischen Grundrechte, München 2006, S. 899–944</w:t>
      </w:r>
    </w:p>
    <w:p>
      <w:pPr>
        <w:spacing w:after="240" w:line="240" w:lineRule="atLeast"/>
      </w:pPr>
      <w:r>
        <w:rPr>
          <w:smallCaps w:val="1"/>
          <w:caps w:val="0"/>
        </w:rPr>
        <w:t xml:space="preserve">Heselhaus Sebastian</w:t>
      </w:r>
      <w:r>
        <w:rPr/>
        <w:t xml:space="preserve">, Grundrechte und Kompetenzordnung, in: Heselhaus, Sebastian/Nowak, Carsten (Hrsg.), Handbuch der Europäischen Grundrechte, München 2006, S. 122–141</w:t>
      </w:r>
    </w:p>
    <w:p>
      <w:pPr>
        <w:spacing w:after="240" w:line="240" w:lineRule="atLeast"/>
      </w:pPr>
      <w:r>
        <w:rPr>
          <w:smallCaps w:val="1"/>
          <w:caps w:val="0"/>
        </w:rPr>
        <w:t xml:space="preserve">Heselhaus Sebastian</w:t>
      </w:r>
      <w:r>
        <w:rPr/>
        <w:t xml:space="preserve">, Minderheitenschutz und Vielfalt der Kulturen, Religionen nd Sprachen, in: Heselhaus, Sebastian/Nowak, Carsten (Hrsg.), Handbuch der Europäischen Grundrechte, München 2006, S. 1220–1269</w:t>
      </w:r>
    </w:p>
    <w:p>
      <w:pPr>
        <w:spacing w:after="240" w:line="240" w:lineRule="atLeast"/>
      </w:pPr>
      <w:r>
        <w:rPr>
          <w:smallCaps w:val="1"/>
          <w:caps w:val="0"/>
        </w:rPr>
        <w:t xml:space="preserve">Heselhaus Sebastian</w:t>
      </w:r>
      <w:r>
        <w:rPr/>
        <w:t xml:space="preserve">, Recht auf eine gute Verwaltung, in: Heselhaus, Sebastian/Nowak, Carsten (Hrsg.), Handbuch der Europäischen Grundrechte, München 2006, S. 1552–1610</w:t>
      </w:r>
    </w:p>
    <w:p>
      <w:pPr>
        <w:spacing w:after="240" w:line="240" w:lineRule="atLeast"/>
      </w:pPr>
      <w:r>
        <w:rPr>
          <w:smallCaps w:val="1"/>
          <w:caps w:val="0"/>
        </w:rPr>
        <w:t xml:space="preserve">Heselhaus Sebastian</w:t>
      </w:r>
      <w:r>
        <w:rPr/>
        <w:t xml:space="preserve">, Verhältnis zu weiteren internationalen Menschenrechtsverbürgungen, in: Heselhaus, Sebastian/Nowak, Carsten (Hrsg.), Handbuch der Europäischen Grundrechte, München 2006, S. 73–104</w:t>
      </w:r>
    </w:p>
    <w:p>
      <w:pPr>
        <w:spacing w:after="240" w:line="240" w:lineRule="atLeast"/>
      </w:pPr>
      <w:r>
        <w:rPr>
          <w:smallCaps w:val="1"/>
          <w:caps w:val="0"/>
        </w:rPr>
        <w:t xml:space="preserve">Heselhaus Sebastian</w:t>
      </w:r>
      <w:r>
        <w:rPr/>
        <w:t xml:space="preserve">, Zugang zu Dokumenten, in: Heselhaus, Sebastian/Nowak, Carsten (Hrsg.), Handbuch der Europäischen Grundrechte, München 2006, S. 1501–1551</w:t>
      </w:r>
    </w:p>
    <w:p>
      <w:pPr>
        <w:spacing w:after="240" w:line="240" w:lineRule="atLeast"/>
      </w:pPr>
      <w:r>
        <w:rPr>
          <w:smallCaps w:val="1"/>
          <w:caps w:val="0"/>
        </w:rPr>
        <w:t xml:space="preserve">Heselhaus Sebastian</w:t>
      </w:r>
      <w:r>
        <w:rPr/>
        <w:t xml:space="preserve">, Die Eingliederung der Bundesrepublik Deutschland in europäische Zusammenschlüsse und zwischenstaatliche Organisationen, in: Hessisches Kultusministerium (Hrsg.), Verfassung des Landes Hessen und Grundgesetz für die Bundesrepublik Deutschland, 58. Aufl., Bad Königshofen 2005, S. 111–141</w:t>
      </w:r>
    </w:p>
    <w:p>
      <w:pPr>
        <w:spacing w:after="240" w:line="240" w:lineRule="atLeast"/>
      </w:pPr>
      <w:r>
        <w:rPr>
          <w:smallCaps w:val="1"/>
          <w:caps w:val="0"/>
        </w:rPr>
        <w:t xml:space="preserve">Heselhaus Sebastian</w:t>
      </w:r>
      <w:r>
        <w:rPr/>
        <w:t xml:space="preserve">, Gebundene Dynamik - Bemerkungen zum Vertrag über eine europäische Verfassung, Europäische Verwaltungsgerichtsbarkeit, in: Fritz, Roland/Lambeck, Rainer (Hrsg.), Eine einheitliche Verfassung für Europa - viele Wege, ein Ziel!, Bd. 3, Giessen 2005, S. 59–76</w:t>
      </w:r>
    </w:p>
    <w:p>
      <w:pPr>
        <w:spacing w:after="240" w:line="240" w:lineRule="atLeast"/>
      </w:pPr>
      <w:r>
        <w:rPr>
          <w:smallCaps w:val="1"/>
          <w:caps w:val="0"/>
        </w:rPr>
        <w:t xml:space="preserve">Heselhaus Sebastian</w:t>
      </w:r>
      <w:r>
        <w:rPr/>
        <w:t xml:space="preserve">, "Geprüfte Qualität - Europäische Union", Zur Beurteilung staatlicher Förderung regionaler landwirtschaftlicher Produkte anhand der Warenverkehrsfreiheit des EG-Vertrages, in: Marauhn, Thilo/Heselhaus, Sebastian (Hrsg.), Staatliche Förderung für regionale Produkte - Protektionismus oder Umwelt- und Verbraucherschutz?, Tübingen 2004, S. 129–166</w:t>
      </w:r>
    </w:p>
    <w:p>
      <w:pPr>
        <w:spacing w:after="240" w:line="240" w:lineRule="atLeast"/>
      </w:pPr>
      <w:r>
        <w:rPr>
          <w:smallCaps w:val="1"/>
          <w:caps w:val="0"/>
        </w:rPr>
        <w:t xml:space="preserve">Heselhaus Sebastian</w:t>
      </w:r>
      <w:r>
        <w:rPr/>
        <w:t xml:space="preserve">, Schutz von Unternehmen durch das Eigentumsgrundrecht im Europäischen Gemeinschaftsrecht - unter besonderer Berücksichtigung von Abgabenregelungen, der Verwendung von Prüfnachweisen im Chemikalienrecht und der Einführung von Emissionsrechtelizenzen, in: Bruha, Thomas/Nowak, Carsten/Petzold, Hans Arno (Hrsg.), Grundrechtsschutz für Unternehmen im europäischen Binnenmarkt, Baden-Baden 2004, S. 97–125</w:t>
      </w:r>
    </w:p>
    <w:p>
      <w:pPr>
        <w:spacing w:after="240" w:line="240" w:lineRule="atLeast"/>
      </w:pPr>
      <w:r>
        <w:rPr>
          <w:smallCaps w:val="1"/>
          <w:caps w:val="0"/>
        </w:rPr>
        <w:t xml:space="preserve">Heselhaus Sebastian</w:t>
      </w:r>
      <w:r>
        <w:rPr/>
        <w:t xml:space="preserve">, Umweltschutz durch Handel mit Emissionsrechten, Konferenzbeiträge 1997-2003, in: Deutsch-Ungarische Juristenvereinigung e.V./Ungarisch-Deutscher Juristenverein (Hrsg.), Gedankenaustausch zwischen deutschen und ungarischen Juristen, Konferenzbeiträge 1997-2003, Köln 2004, S. 539–571</w:t>
      </w:r>
    </w:p>
    <w:p>
      <w:pPr>
        <w:spacing w:after="240" w:line="240" w:lineRule="atLeast"/>
      </w:pPr>
      <w:r>
        <w:rPr>
          <w:smallCaps w:val="1"/>
          <w:caps w:val="0"/>
        </w:rPr>
        <w:t xml:space="preserve">Heselhaus Sebastian</w:t>
      </w:r>
      <w:r>
        <w:rPr/>
        <w:t xml:space="preserve">, Diskussionsbericht, in: H.-W. Rengeling (Hrsg.), Umgestaltung des deutschen Chemikalienrechts durch europäische Chemikalienpolitik, 1. Aufl., Köln, Berlin, Bonn, München 2003, S. 275–276</w:t>
      </w:r>
    </w:p>
    <w:p>
      <w:pPr>
        <w:spacing w:after="240" w:line="240" w:lineRule="atLeast"/>
      </w:pPr>
      <w:r>
        <w:rPr>
          <w:smallCaps w:val="1"/>
          <w:caps w:val="0"/>
        </w:rPr>
        <w:t xml:space="preserve">Heselhaus Sebastian</w:t>
      </w:r>
      <w:r>
        <w:rPr/>
        <w:t xml:space="preserve">, Diskussionsbericht, in: H.-W. Rengeling (Hrsg.), Umgestaltung des deutschen Chemikalienrechts durch europäische Chemikalienpolitik, 1. Aufl., Köln, Berlin, Bonn, München 2003, S. 237–240</w:t>
      </w:r>
    </w:p>
    <w:p>
      <w:pPr>
        <w:spacing w:after="240" w:line="240" w:lineRule="atLeast"/>
      </w:pPr>
      <w:r>
        <w:rPr>
          <w:smallCaps w:val="1"/>
          <w:caps w:val="0"/>
        </w:rPr>
        <w:t xml:space="preserve">Heselhaus Sebastian</w:t>
      </w:r>
      <w:r>
        <w:rPr/>
        <w:t xml:space="preserve">, Emissionsrechtehandel als Instrument einer nachhaltigen Entwicklung, in: Lange, Klaus (Hrsg.), Nachhaltigkeit im Recht, Baden-Baden 2003, S. 173–199</w:t>
      </w:r>
    </w:p>
    <w:p>
      <w:pPr>
        <w:spacing w:after="240" w:line="240" w:lineRule="atLeast"/>
      </w:pPr>
      <w:r>
        <w:rPr>
          <w:smallCaps w:val="1"/>
          <w:caps w:val="0"/>
        </w:rPr>
        <w:t xml:space="preserve">Heselhaus Sebastian</w:t>
      </w:r>
      <w:r>
        <w:rPr/>
        <w:t xml:space="preserve">, Individualrechtsschutz in Genehmigungsverfahren der Europäischen Gemeinschaft im Recht der Biotechnologie, in: Cremer, Wolfram/Nowak, Carsten (Hrsg.), Individualrechtsschutz in der EG und der WTO, Baden-Baden 2002, S. 103–132</w:t>
      </w:r>
    </w:p>
    <w:p>
      <w:pPr>
        <w:spacing w:after="240" w:line="240" w:lineRule="atLeast"/>
      </w:pPr>
      <w:r>
        <w:rPr>
          <w:smallCaps w:val="1"/>
          <w:caps w:val="0"/>
        </w:rPr>
        <w:t xml:space="preserve">Heselhaus Sebastian</w:t>
      </w:r>
      <w:r>
        <w:rPr/>
        <w:t xml:space="preserve">, International Law and the Use of Force, in: Schwabach, Aaron/Cockfield, Arthur J. (Hrsg.), The Role of International Law and institutions, Kap. 1.36.1.7. Encyclopedia of Life Support Systems (EOLSS), Oxford 2002</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(Hrsg.), Handbuch des EG-Wirtschaftsrechts, 3. erweiterte Aufl., München 2000</w:t>
      </w:r>
    </w:p>
    <w:p>
      <w:pPr>
        <w:spacing w:after="240" w:line="240" w:lineRule="atLeast"/>
      </w:pPr>
      <w:r>
        <w:rPr>
          <w:smallCaps w:val="1"/>
          <w:caps w:val="0"/>
        </w:rPr>
        <w:t xml:space="preserve">Heselhaus Sebastian</w:t>
      </w:r>
      <w:r>
        <w:rPr/>
        <w:t xml:space="preserve">, Das Prinzip gemeinsamer Verantwortung und Partnerschaft im Umweltrecht der Europäischen Union, in: Lange, Klaus (Hrsg.), Gesamtverantwortung statt Verantwortungsparzellierung im Umweltrecht, Baden-Baden 1997, S. 93–116</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(Hrsg.), Handbuch des EG-Wirtschaftsrechts, 2. überarbeitete Auflage, München 1995</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(Hrsg.), Handbuch des EG-Wirtschaftsrechts, München 1993</w:t>
      </w:r>
    </w:p>
    <w:p>
      <w:pPr>
        <w:spacing w:after="240" w:line="240" w:lineRule="atLeast"/>
        <w:rPr>
          <w:b/>
          <w:bCs/>
        </w:rPr>
      </w:pPr>
      <w:r>
        <w:rPr>
          <w:b/>
          <w:bCs/>
        </w:rPr>
        <w:t xml:space="preserve">Beitrag in einem Kommentar</w:t>
      </w:r>
    </w:p>
    <w:p>
      <w:pPr>
        <w:spacing w:after="240" w:line="240" w:lineRule="atLeast"/>
      </w:pPr>
      <w:r>
        <w:rPr>
          <w:smallCaps w:val="1"/>
          <w:caps w:val="0"/>
        </w:rPr>
        <w:t xml:space="preserve">Heselhaus Sebastian</w:t>
      </w:r>
      <w:r>
        <w:rPr/>
        <w:t xml:space="preserve">, Kommentierung von § 56 BNatSchG, Geltungs- und Anwendungsbereich, in: Frenz, Walter/Müggenborg, Hans-Jürgen (Hrsg.), Bundesnaturschutzgesetz, Berliner Kommentar, Berlin 2024, S. 1493–1511</w:t>
      </w:r>
    </w:p>
    <w:p>
      <w:pPr>
        <w:spacing w:after="240" w:line="240" w:lineRule="atLeast"/>
      </w:pPr>
      <w:r>
        <w:rPr>
          <w:smallCaps w:val="1"/>
          <w:caps w:val="0"/>
        </w:rPr>
        <w:t xml:space="preserve">Heselhaus Sebastian</w:t>
      </w:r>
      <w:r>
        <w:rPr/>
        <w:t xml:space="preserve">, Kommentierung von § 56a BNatSchG, Bevorratung von Kompensationsmassnahmen, in: Frenz, Walter/Müggenborg, Hans-Jürgen (Hrsg.), Bundesnaturschutzgesetz, Berliner Kommentar, Berlin 2024, S. 1511–1517</w:t>
      </w:r>
    </w:p>
    <w:p>
      <w:pPr>
        <w:spacing w:after="240" w:line="240" w:lineRule="atLeast"/>
      </w:pPr>
      <w:r>
        <w:rPr>
          <w:smallCaps w:val="1"/>
          <w:caps w:val="0"/>
        </w:rPr>
        <w:t xml:space="preserve">Heselhaus Sebastian</w:t>
      </w:r>
      <w:r>
        <w:rPr/>
        <w:t xml:space="preserve">, Kommentierung von § 57 BNatSchG, Geschützte Meeresgebiete im Bereich der deutschen ausschliesslichen Wirtschaftszone und des Festlandsockels; Ermächtigung zum Erlass von Rechtsverordnungen, in: Frenz, Walter/Müggenborg, Hans-Jürgen (Hrsg.), Bundesnaturschutzgesetz, Berliner Kommentar, Berlin 2024, S. 1517–1538</w:t>
      </w:r>
    </w:p>
    <w:p>
      <w:pPr>
        <w:spacing w:after="240" w:line="240" w:lineRule="atLeast"/>
      </w:pPr>
      <w:r>
        <w:rPr>
          <w:smallCaps w:val="1"/>
          <w:caps w:val="0"/>
        </w:rPr>
        <w:t xml:space="preserve">Heselhaus Sebastian</w:t>
      </w:r>
      <w:r>
        <w:rPr/>
        <w:t xml:space="preserve">, Kommentierung von § 63 BNatSchG, Mitwirkungsrechte, in: Frenz, Walter/Müggenborg, Hans-Jürgen (Hrsg.), Bundesnaturschutzgesetz, Berliner Kommentar, 2024, S. 1583–1628</w:t>
      </w:r>
    </w:p>
    <w:p>
      <w:pPr>
        <w:spacing w:after="240" w:line="240" w:lineRule="atLeast"/>
      </w:pPr>
      <w:r>
        <w:rPr>
          <w:smallCaps w:val="1"/>
          <w:caps w:val="0"/>
        </w:rPr>
        <w:t xml:space="preserve">Heselhaus Sebastian</w:t>
      </w:r>
      <w:r>
        <w:rPr/>
        <w:t xml:space="preserve">, Kommentierung von § 64 BNatSchG, Rechtsbehelfe, in: Frenz, Walter/Müggenborg, Hans-Jürgen (Hrsg.), Bundesnaturschutzgesetz, Berliner Kommentar, Berlin 2024, S. 1628–1656</w:t>
      </w:r>
    </w:p>
    <w:p>
      <w:pPr>
        <w:spacing w:after="240" w:line="240" w:lineRule="atLeast"/>
      </w:pPr>
      <w:r>
        <w:rPr>
          <w:smallCaps w:val="1"/>
          <w:caps w:val="0"/>
        </w:rPr>
        <w:t xml:space="preserve">Heselhaus Sebastian</w:t>
      </w:r>
      <w:r>
        <w:rPr/>
        <w:t xml:space="preserve">, Kommentierung von §55 BNatSchG, Durchführung gemeinschaftsrechtlicher oder internationaler Vorschriften; Ermächtigung zum Erlass von Rechtsverordnungen, in: Frenz, Walter/Mügenborg, Hans-Jürg (Hrsg.), Bundesnaturschutzgesetz, Berliner Kommentar, Berlin 2024, S. 1484–1492</w:t>
      </w:r>
    </w:p>
    <w:p>
      <w:pPr>
        <w:spacing w:after="240" w:line="240" w:lineRule="atLeast"/>
      </w:pPr>
      <w:r>
        <w:rPr>
          <w:smallCaps w:val="1"/>
          <w:caps w:val="0"/>
        </w:rPr>
        <w:t xml:space="preserve">Heselhaus Sebastian</w:t>
      </w:r>
      <w:r>
        <w:rPr/>
        <w:t xml:space="preserve">, Art. 10 EUV, Demokratische Grundstäze, in: Pechstein, Matthias/Nowak, Carsten/Häde, Ulrich (Hrsg.), Frankfurter Kommentar zu EUV, GRC und AEUV, Bd. 1, Tübingen 2023, S. 377–410</w:t>
      </w:r>
    </w:p>
    <w:p>
      <w:pPr>
        <w:spacing w:after="240" w:line="240" w:lineRule="atLeast"/>
      </w:pPr>
      <w:r>
        <w:rPr>
          <w:smallCaps w:val="1"/>
          <w:caps w:val="0"/>
        </w:rPr>
        <w:t xml:space="preserve">Heselhaus Sebastian</w:t>
      </w:r>
      <w:r>
        <w:rPr/>
        <w:t xml:space="preserve">, Art. 11 AEUV, Umweltschutz; Intergrartionsklausel, in: Pechstein, Matthias/Nowak, Carsten/Häde, Ulrich (Hrsg.), Frankfurter Kommentar zu EUV, GRC und AEUV, Bd. 2, Tübingen 2023, S. 89–110</w:t>
      </w:r>
    </w:p>
    <w:p>
      <w:pPr>
        <w:spacing w:after="240" w:line="240" w:lineRule="atLeast"/>
      </w:pPr>
      <w:r>
        <w:rPr>
          <w:smallCaps w:val="1"/>
          <w:caps w:val="0"/>
        </w:rPr>
        <w:t xml:space="preserve">Heselhaus Sebastian</w:t>
      </w:r>
      <w:r>
        <w:rPr/>
        <w:t xml:space="preserve">, Art. 11 EUV, Bürgerbeteiligung, in: Pechstein, Matthias/Nowak, Carsten/Häde, Ulrich (Hrsg.), Frankfurter Kommentar zu EUV, GRC und AEUV, Bd. 1, Tübingen 2023, S. 410–441</w:t>
      </w:r>
    </w:p>
    <w:p>
      <w:pPr>
        <w:spacing w:after="240" w:line="240" w:lineRule="atLeast"/>
      </w:pPr>
      <w:r>
        <w:rPr>
          <w:smallCaps w:val="1"/>
          <w:caps w:val="0"/>
        </w:rPr>
        <w:t xml:space="preserve">Heselhaus Sebastian</w:t>
      </w:r>
      <w:r>
        <w:rPr/>
        <w:t xml:space="preserve">, Art. 12 EUV, Beitrag der nationalen Parlamente, in: Pechstein, Matthias/Nowak, Carsten/Häde, Ulrich (Hrsg.), Frankfurter Kommentar zu EUV, GRC und AEUV, Bd. 1, Tübingen 2023, S. 447–466</w:t>
      </w:r>
    </w:p>
    <w:p>
      <w:pPr>
        <w:spacing w:after="240" w:line="240" w:lineRule="atLeast"/>
      </w:pPr>
      <w:r>
        <w:rPr>
          <w:smallCaps w:val="1"/>
          <w:caps w:val="0"/>
        </w:rPr>
        <w:t xml:space="preserve">Heselhaus Sebastian</w:t>
      </w:r>
      <w:r>
        <w:rPr/>
        <w:t xml:space="preserve">, Art. 13 AEUV, Tierschutz; Querschnittklausel, in: Pechstein, Matthias/Nowak, Carsten/Häde, Ulrich (Hrsg.), Frankfurter Kommentar zu EUV, GRC und AEUV, Bd. 2, Tübingen 2023, S. 134–151</w:t>
      </w:r>
    </w:p>
    <w:p>
      <w:pPr>
        <w:spacing w:after="240" w:line="240" w:lineRule="atLeast"/>
      </w:pPr>
      <w:r>
        <w:rPr>
          <w:smallCaps w:val="1"/>
          <w:caps w:val="0"/>
        </w:rPr>
        <w:t xml:space="preserve">Heselhaus Sebastian</w:t>
      </w:r>
      <w:r>
        <w:rPr/>
        <w:t xml:space="preserve">, Art. 15 AEUV, Grundsatz der Offenheit, in: Pechstein, Matthias/Nowak, Carsten/Häde, Ulrich (Hrsg.), Frankfurter Kommentar zu EUV, GRC und AEUV, Bd. 2, Tübingen 2023, S. 168–202</w:t>
      </w:r>
    </w:p>
    <w:p>
      <w:pPr>
        <w:spacing w:after="240" w:line="240" w:lineRule="atLeast"/>
      </w:pPr>
      <w:r>
        <w:rPr>
          <w:smallCaps w:val="1"/>
          <w:caps w:val="0"/>
        </w:rPr>
        <w:t xml:space="preserve">Heselhaus Sebastian</w:t>
      </w:r>
      <w:r>
        <w:rPr/>
        <w:t xml:space="preserve">, Art. 191 AEUV, Umweltpolitische Ziele; Schutzmassnahmen; Internationale Zusammenarbeit, in: Pechstein, Matthias/Nowak, Carsten/Häde, Ulrich (Hrsg.), Frankfurter Kommentar zu EUV, GRC und AEUV, Bd. 3, Tübingen 2023, S. 1316–1368</w:t>
      </w:r>
    </w:p>
    <w:p>
      <w:pPr>
        <w:spacing w:after="240" w:line="240" w:lineRule="atLeast"/>
      </w:pPr>
      <w:r>
        <w:rPr>
          <w:smallCaps w:val="1"/>
          <w:caps w:val="0"/>
        </w:rPr>
        <w:t xml:space="preserve">Heselhaus Sebastian</w:t>
      </w:r>
      <w:r>
        <w:rPr/>
        <w:t xml:space="preserve">, Art. 192 AEUV, Beschlussfassung; Finanzierung, Verursacherprinzip, 1424, in: Pechstein, Matthias/Nowak, Carsten/Häde, Ulrich (Hrsg.), Frankfurter Kommentar zu EUV, GRC und AEUV, Bd. 3, Tübingen 2023, S. 1464 ff.</w:t>
      </w:r>
    </w:p>
    <w:p>
      <w:pPr>
        <w:spacing w:after="240" w:line="240" w:lineRule="atLeast"/>
      </w:pPr>
      <w:r>
        <w:rPr>
          <w:smallCaps w:val="1"/>
          <w:caps w:val="0"/>
        </w:rPr>
        <w:t xml:space="preserve">Heselhaus Sebastian</w:t>
      </w:r>
      <w:r>
        <w:rPr/>
        <w:t xml:space="preserve">, Art. 193 AEUV, Schutzmassnahmen der Mitgliedstaaten, in: Pechstein, Matthias/Nowak, Carsten/Häde, Ulrich (Hrsg.), Frankfurter Kommentar zu EUV, GRC und AEUV, Bd. 3, Tübingen 2023, S. 1409–1428</w:t>
      </w:r>
    </w:p>
    <w:p>
      <w:pPr>
        <w:spacing w:after="240" w:line="240" w:lineRule="atLeast"/>
      </w:pPr>
      <w:r>
        <w:rPr>
          <w:smallCaps w:val="1"/>
          <w:caps w:val="0"/>
        </w:rPr>
        <w:t xml:space="preserve">Heselhaus Sebastian</w:t>
      </w:r>
      <w:r>
        <w:rPr/>
        <w:t xml:space="preserve">, Art. 20 AEUV, Unionsbürgerschaft, in: Pechstein, Matthias/Nowak, Carsten/Häde, Ulrich (Hrsg.), Frankfurter Kommentar zu EUV, GRC und AEUV, Bd. 2, Tübingen 2023, S. 296–318</w:t>
      </w:r>
    </w:p>
    <w:p>
      <w:pPr>
        <w:spacing w:after="240" w:line="240" w:lineRule="atLeast"/>
      </w:pPr>
      <w:r>
        <w:rPr>
          <w:smallCaps w:val="1"/>
          <w:caps w:val="0"/>
        </w:rPr>
        <w:t xml:space="preserve">Heselhaus Sebastian</w:t>
      </w:r>
      <w:r>
        <w:rPr/>
        <w:t xml:space="preserve">, Art. 20 GRC, Gleichheit vor dem Gesetz, in: Pechstein, Matthias/Nowak, Carsten/Häde, Ulrich (Hrsg.), Frankfurter Kommentar zu EUV, GRC und AEUV, Bd. 1, Tübingen 2023, S. 1361–1383</w:t>
      </w:r>
    </w:p>
    <w:p>
      <w:pPr>
        <w:spacing w:after="240" w:line="240" w:lineRule="atLeast"/>
      </w:pPr>
      <w:r>
        <w:rPr>
          <w:smallCaps w:val="1"/>
          <w:caps w:val="0"/>
        </w:rPr>
        <w:t xml:space="preserve">Heselhaus Sebastian</w:t>
      </w:r>
      <w:r>
        <w:rPr/>
        <w:t xml:space="preserve">, Art. 21 AEUV, Unionsbürgerliches Freizügigkeitsrecht, in: Pechstein, Matthias/Nowak, Carsten/Häde, Ulrich (Hrsg.), Frankfurter Kommentar zu EUV, GRC und AEUV, Bd. 2, Tübingen 2023, S. 318–340</w:t>
      </w:r>
    </w:p>
    <w:p>
      <w:pPr>
        <w:spacing w:after="240" w:line="240" w:lineRule="atLeast"/>
      </w:pPr>
      <w:r>
        <w:rPr>
          <w:smallCaps w:val="1"/>
          <w:caps w:val="0"/>
        </w:rPr>
        <w:t xml:space="preserve">Heselhaus Sebastian</w:t>
      </w:r>
      <w:r>
        <w:rPr/>
        <w:t xml:space="preserve">, Art. 22 AEUV, Wahlrecht, in: Pechstein, Matthias/Nowak, Carsten/Häde, Ulrich (Hrsg.), Frankfurter Kommentar zu EUV, GRC und AEUV, Bd. 2, Tübingen 2023, S. 340–355</w:t>
      </w:r>
    </w:p>
    <w:p>
      <w:pPr>
        <w:spacing w:after="240" w:line="240" w:lineRule="atLeast"/>
      </w:pPr>
      <w:r>
        <w:rPr>
          <w:smallCaps w:val="1"/>
          <w:caps w:val="0"/>
        </w:rPr>
        <w:t xml:space="preserve">Heselhaus Sebastian</w:t>
      </w:r>
      <w:r>
        <w:rPr/>
        <w:t xml:space="preserve">, Art. 23 AEUV, Recht auf diplomatischen Schutz, in: Pechstein, Matthias/Nowak, Carsten/Häde, Ulrich (Hrsg.), Frankfurter Kommentar zu EUV, GRC und AEUV, Bd. 2, Tübingen 2023, S. 355–375</w:t>
      </w:r>
    </w:p>
    <w:p>
      <w:pPr>
        <w:spacing w:after="240" w:line="240" w:lineRule="atLeast"/>
      </w:pPr>
      <w:r>
        <w:rPr>
          <w:smallCaps w:val="1"/>
          <w:caps w:val="0"/>
        </w:rPr>
        <w:t xml:space="preserve">Heselhaus Sebastian</w:t>
      </w:r>
      <w:r>
        <w:rPr/>
        <w:t xml:space="preserve">, Art. 24 AEUV, Petitionsrecht, in: Pechstein, Matthias/Nowak, Carsten/Häde, Ulrich (Hrsg.), Frankfurter Kommentar zu EUV, GRC und AEUV, Bd. 2, Tübingen 2023, S. 375–386</w:t>
      </w:r>
    </w:p>
    <w:p>
      <w:pPr>
        <w:spacing w:after="240" w:line="240" w:lineRule="atLeast"/>
      </w:pPr>
      <w:r>
        <w:rPr>
          <w:smallCaps w:val="1"/>
          <w:caps w:val="0"/>
        </w:rPr>
        <w:t xml:space="preserve">Heselhaus Sebastian</w:t>
      </w:r>
      <w:r>
        <w:rPr/>
        <w:t xml:space="preserve">, Art. 25 AEUV, Fortentwicklung der Unionsbürgerschaft, in: Pechstein, Matthias/Nowak, Carsten/Häde, Ulrich (Hrsg.), Frankfurter Kommentar zu EUV, GRC und AEUV, Bd. 2, Tübingen 2023, S. 386–397</w:t>
      </w:r>
    </w:p>
    <w:p>
      <w:pPr>
        <w:spacing w:after="240" w:line="240" w:lineRule="atLeast"/>
      </w:pPr>
      <w:r>
        <w:rPr>
          <w:smallCaps w:val="1"/>
          <w:caps w:val="0"/>
        </w:rPr>
        <w:t xml:space="preserve">Heselhaus Sebastian</w:t>
      </w:r>
      <w:r>
        <w:rPr/>
        <w:t xml:space="preserve">, Art. 3 GRC, Recht auf Unversehrtheit, in: Pechstein, Matthias/Nowak, Carsten/Häde, Ulrich (Hrsg.), Frankfurter Kommentar zu EUV, GRC und AEUV, Bd. 1, Tübingen 2023, S. 1072–1089</w:t>
      </w:r>
    </w:p>
    <w:p>
      <w:pPr>
        <w:spacing w:after="240" w:line="240" w:lineRule="atLeast"/>
      </w:pPr>
      <w:r>
        <w:rPr>
          <w:smallCaps w:val="1"/>
          <w:caps w:val="0"/>
        </w:rPr>
        <w:t xml:space="preserve">Heselhaus Sebastian</w:t>
      </w:r>
      <w:r>
        <w:rPr/>
        <w:t xml:space="preserve">, Art. 342 AEUV, Sprachenfrage; Amts- und Arbeitssprachen, in: Pechstein, Matthias/Nowak, Carsten/Häde, Ulrich (Hrsg.), Frankfurter Kommentar zu EUV, GRC und AEUV, Bd. 4, Tübingen 2023, S. 1487–1502</w:t>
      </w:r>
    </w:p>
    <w:p>
      <w:pPr>
        <w:spacing w:after="240" w:line="240" w:lineRule="atLeast"/>
      </w:pPr>
      <w:r>
        <w:rPr>
          <w:smallCaps w:val="1"/>
          <w:caps w:val="0"/>
        </w:rPr>
        <w:t xml:space="preserve">Heselhaus Sebastian</w:t>
      </w:r>
      <w:r>
        <w:rPr/>
        <w:t xml:space="preserve">, Art. 37 GRC, Umweltschutz, in: Pechstein, Matthias/Nowak, Carsten/Häde, Ulrich (Hrsg.), Frankfurter Kommentar zu EUV, GRC und AEUV, Bd. 1, Tübingen 2023, S. 1547–1559</w:t>
      </w:r>
    </w:p>
    <w:p>
      <w:pPr>
        <w:spacing w:after="240" w:line="240" w:lineRule="atLeast"/>
      </w:pPr>
      <w:r>
        <w:rPr>
          <w:smallCaps w:val="1"/>
          <w:caps w:val="0"/>
        </w:rPr>
        <w:t xml:space="preserve">Heselhaus Sebastian</w:t>
      </w:r>
      <w:r>
        <w:rPr/>
        <w:t xml:space="preserve">, Art. 39 GRC, Aktives und passives Wahlrecht bei den Wahlen zum Europäischen Parlament, in: Pechstein, Matthias/Nowak, Carsten/Häde, Ulrich (Hrsg.), Frankfurter Kommentar zu EUV, GRC und AEUV, Bd. 1, Tübingen 2023, S. 1574–1588</w:t>
      </w:r>
    </w:p>
    <w:p>
      <w:pPr>
        <w:spacing w:after="240" w:line="240" w:lineRule="atLeast"/>
      </w:pPr>
      <w:r>
        <w:rPr>
          <w:smallCaps w:val="1"/>
          <w:caps w:val="0"/>
        </w:rPr>
        <w:t xml:space="preserve">Heselhaus Sebastian</w:t>
      </w:r>
      <w:r>
        <w:rPr/>
        <w:t xml:space="preserve">, Art. 40 GRC, Aktives und passives Wahlrecht bei den Kommunalwahlen, in: Pechstein, Matthias/Nowak, Carsten/Häde, Ulrich (Hrsg.), Frankfurter Kommentar zu EUV, GRC und AEUV, Bd. 1, Tübingen 2023, S. 1588–1597</w:t>
      </w:r>
    </w:p>
    <w:p>
      <w:pPr>
        <w:spacing w:after="240" w:line="240" w:lineRule="atLeast"/>
      </w:pPr>
      <w:r>
        <w:rPr>
          <w:smallCaps w:val="1"/>
          <w:caps w:val="0"/>
        </w:rPr>
        <w:t xml:space="preserve">Heselhaus Sebastian</w:t>
      </w:r>
      <w:r>
        <w:rPr/>
        <w:t xml:space="preserve">, Art. 42 GRC, Recht auf Zugang zu Dokumenten, in: Pechstein, Matthias/Nowak, Carsten/Häde, Ulrich (Hrsg.), Frankfurter Kommentar zu EUV, GRC und AEUV, Bd. 1, Tübingen 2023, S. 1610–1615</w:t>
      </w:r>
    </w:p>
    <w:p>
      <w:pPr>
        <w:spacing w:after="240" w:line="240" w:lineRule="atLeast"/>
      </w:pPr>
      <w:r>
        <w:rPr>
          <w:smallCaps w:val="1"/>
          <w:caps w:val="0"/>
        </w:rPr>
        <w:t xml:space="preserve">Heselhaus Sebastian</w:t>
      </w:r>
      <w:r>
        <w:rPr/>
        <w:t xml:space="preserve">, Art. 43 GRC, Der Europäische Bürgerbeauftragte, in: Pechstein, Matthias/Nowak, Carsten/Häde, Ulrich (Hrsg.), Frankfurter Kommentar zu EUV, GRC und AEUV, Bd. 1, Tübingen 2023, S. 1615–1625</w:t>
      </w:r>
    </w:p>
    <w:p>
      <w:pPr>
        <w:spacing w:after="240" w:line="240" w:lineRule="atLeast"/>
      </w:pPr>
      <w:r>
        <w:rPr>
          <w:smallCaps w:val="1"/>
          <w:caps w:val="0"/>
        </w:rPr>
        <w:t xml:space="preserve">Heselhaus Sebastian</w:t>
      </w:r>
      <w:r>
        <w:rPr/>
        <w:t xml:space="preserve">, Art. 44 GRC, Petitionsrecht, in: Pechstein, Matthias/Nowak, Carsten/Häde, Ulrich (Hrsg.), Frankfurter Kommentar zu EUV, GRC und AEUV, Bd. 1, Tübingen 2023, S. 1625–1633</w:t>
      </w:r>
    </w:p>
    <w:p>
      <w:pPr>
        <w:spacing w:after="240" w:line="240" w:lineRule="atLeast"/>
      </w:pPr>
      <w:r>
        <w:rPr>
          <w:smallCaps w:val="1"/>
          <w:caps w:val="0"/>
        </w:rPr>
        <w:t xml:space="preserve">Heselhaus Sebastian</w:t>
      </w:r>
      <w:r>
        <w:rPr/>
        <w:t xml:space="preserve">, Art. 45 GRC, Freizügigkeit und Aufenthaltsfreiheit, in: Pechstein, Matthias/Nowak, Carsten/Häde, Ulrich (Hrsg.), Frankfurter Kommentar zu EUV, GRC und AEUV, Bd. 1, Tübingen 2023, S. 1633–1643</w:t>
      </w:r>
    </w:p>
    <w:p>
      <w:pPr>
        <w:spacing w:after="240" w:line="240" w:lineRule="atLeast"/>
      </w:pPr>
      <w:r>
        <w:rPr>
          <w:smallCaps w:val="1"/>
          <w:caps w:val="0"/>
        </w:rPr>
        <w:t xml:space="preserve">Heselhaus Sebastian</w:t>
      </w:r>
      <w:r>
        <w:rPr/>
        <w:t xml:space="preserve">, Art. 46 GRC, Diplomatischer und konsularischer Schutz, in: Pechstein, Matthias/Nowak, Carsten/Häde, Ulrich (Hrsg.), Frankfurter Kommentar zu EUV, GRC und AEUV, Bd. 1, Tübingen 2023, S. 1643–1650</w:t>
      </w:r>
    </w:p>
    <w:p>
      <w:pPr>
        <w:spacing w:after="240" w:line="240" w:lineRule="atLeast"/>
      </w:pPr>
      <w:r>
        <w:rPr>
          <w:smallCaps w:val="1"/>
          <w:caps w:val="0"/>
        </w:rPr>
        <w:t xml:space="preserve">Heselhaus Sebastian</w:t>
      </w:r>
      <w:r>
        <w:rPr/>
        <w:t xml:space="preserve">, Art. 55 EUV, Verbindlicher Wortlaut; Hinterlegung, in: Pechstein, Matthias/Nowak, Carsten/Häde, Ulrich (Hrsg.), Frankfurter Kommentar zu EUV, GRC und AEUV, Bd. 1, Tübingen 2023, S. 980–997</w:t>
      </w:r>
    </w:p>
    <w:p>
      <w:pPr>
        <w:spacing w:after="240" w:line="240" w:lineRule="atLeast"/>
      </w:pPr>
      <w:r>
        <w:rPr>
          <w:smallCaps w:val="1"/>
          <w:caps w:val="0"/>
        </w:rPr>
        <w:t xml:space="preserve">Heselhaus Sebastian</w:t>
      </w:r>
      <w:r>
        <w:rPr/>
        <w:t xml:space="preserve">, Art. 9 EUV, Gleichheit, Unionsbürgerschaft, in: Pechstein, Matthias/Nowak, Carsten/Häde, Ulrich (Hrsg.), Frankfurter Kommentar zu EUV, GRC und AEUV, Bd. 1, Tübingen 2023, S. 361–377</w:t>
      </w:r>
    </w:p>
    <w:p>
      <w:pPr>
        <w:spacing w:after="240" w:line="240" w:lineRule="atLeast"/>
      </w:pPr>
      <w:r>
        <w:rPr>
          <w:smallCaps w:val="1"/>
          <w:caps w:val="0"/>
        </w:rPr>
        <w:t xml:space="preserve">Heselhaus Sebastian</w:t>
      </w:r>
      <w:r>
        <w:rPr/>
        <w:t xml:space="preserve">, Kommentierung von § 55 BNatSchG, Durchführung gemeinschaftsrechtlicher oder internationaler Vorschriften; Ermächtigung zum Erlass von Rechtsverordnungen, in: Frenz, Walter/Müggenborg, Hans-Jürgen (Hrsg.), Bundesnaturschutzgesetz, Berliner Kommentar, Berlin 2021, S. 1311–1319</w:t>
      </w:r>
    </w:p>
    <w:p>
      <w:pPr>
        <w:spacing w:after="240" w:line="240" w:lineRule="atLeast"/>
      </w:pPr>
      <w:r>
        <w:rPr>
          <w:smallCaps w:val="1"/>
          <w:caps w:val="0"/>
        </w:rPr>
        <w:t xml:space="preserve">Heselhaus Sebastian</w:t>
      </w:r>
      <w:r>
        <w:rPr/>
        <w:t xml:space="preserve">, Kommentierung von § 56 BNatSchG, Geltungs- und Anwendungsbereich, in: Frenz, Walter/Müggenborg, Hans-Jürgen (Hrsg.), Bundesnaturschutzgesetz, Berliner Kommentar, Berlin 2021, S. 1321–1344</w:t>
      </w:r>
    </w:p>
    <w:p>
      <w:pPr>
        <w:spacing w:after="240" w:line="240" w:lineRule="atLeast"/>
      </w:pPr>
      <w:r>
        <w:rPr>
          <w:smallCaps w:val="1"/>
          <w:caps w:val="0"/>
        </w:rPr>
        <w:t xml:space="preserve">Heselhaus Sebastian</w:t>
      </w:r>
      <w:r>
        <w:rPr/>
        <w:t xml:space="preserve">, Kommentierung von § 57 BNatSchG, Geschützte Meeresgebiete im Bereich der deutschen ausschliesslichen Wirtschaftszone und des Festlandsockels; Ermächtigung zum Erlass von Rechtsverordnungen, in: Frenz, Walter/Müggenborg, Hans-Jürgen (Hrsg.), Bundesnaturschutzgesetz, Berliner Kommentar, Berlin 2021, S. 1344–1364</w:t>
      </w:r>
    </w:p>
    <w:p>
      <w:pPr>
        <w:spacing w:after="240" w:line="240" w:lineRule="atLeast"/>
      </w:pPr>
      <w:r>
        <w:rPr>
          <w:smallCaps w:val="1"/>
          <w:caps w:val="0"/>
        </w:rPr>
        <w:t xml:space="preserve">Heselhaus Sebastian</w:t>
      </w:r>
      <w:r>
        <w:rPr/>
        <w:t xml:space="preserve">, Kommentierung von § 63 BNatSchG, Mitwirkungsrecht, in: Frenz, Walter/Müggenborg, Hans-Jürgen (Hrsg.), Bundesnaturschutzgesetz, Berliner Kommentar, Berlin 2021, S. 1407–1450</w:t>
      </w:r>
    </w:p>
    <w:p>
      <w:pPr>
        <w:spacing w:after="240" w:line="240" w:lineRule="atLeast"/>
      </w:pPr>
      <w:r>
        <w:rPr>
          <w:smallCaps w:val="1"/>
          <w:caps w:val="0"/>
        </w:rPr>
        <w:t xml:space="preserve">Heselhaus Sebastian</w:t>
      </w:r>
      <w:r>
        <w:rPr/>
        <w:t xml:space="preserve">, Kommentierung von § 64 BNatSchG, Rechtsbehelfe, in: Frenz, Walter/Müggenborg, Hans-Jürgen (Hrsg.), Bundesnaturschutzgesetz, Berliner Kommentar, Berlin 2021, S. 1451–1477</w:t>
      </w:r>
    </w:p>
    <w:p>
      <w:pPr>
        <w:spacing w:after="240" w:line="240" w:lineRule="atLeast"/>
      </w:pPr>
      <w:r>
        <w:rPr>
          <w:smallCaps w:val="1"/>
          <w:caps w:val="0"/>
        </w:rPr>
        <w:t xml:space="preserve">Heselhaus Sebastian</w:t>
      </w:r>
      <w:r>
        <w:rPr/>
        <w:t xml:space="preserve">, Kommentierung von § 43 WHG, in: Berendes, Konrad/Frenz, Walter/Müggenborg, Hans-Jürgen (Hrsg.), Wasserhaushaltsgesetz, Berliner Kommentar, Berlin 2016, S. 891–906</w:t>
      </w:r>
    </w:p>
    <w:p>
      <w:pPr>
        <w:spacing w:after="240" w:line="240" w:lineRule="atLeast"/>
      </w:pPr>
      <w:r>
        <w:rPr>
          <w:smallCaps w:val="1"/>
          <w:caps w:val="0"/>
        </w:rPr>
        <w:t xml:space="preserve">Heselhaus Sebastian</w:t>
      </w:r>
      <w:r>
        <w:rPr/>
        <w:t xml:space="preserve">, Kommentierung von § 44 WHG, in: Berendes, Konrad/Frenz, Walter/Müggenborg, Hans-Jürgen (Hrsg.), Wasserhaushaltsgesetz, Berliner Kommentar, Berlin 2016, S. 907–915</w:t>
      </w:r>
    </w:p>
    <w:p>
      <w:pPr>
        <w:spacing w:after="240" w:line="240" w:lineRule="atLeast"/>
      </w:pPr>
      <w:r>
        <w:rPr>
          <w:smallCaps w:val="1"/>
          <w:caps w:val="0"/>
        </w:rPr>
        <w:t xml:space="preserve">Heselhaus Sebastian</w:t>
      </w:r>
      <w:r>
        <w:rPr/>
        <w:t xml:space="preserve">, Kommentierung von § 45 WHG, in: Berendes, Konrad/Frenz, Walter/Müggenborg, Hans-Jürgen (Hrsg.), Wasserhaushaltsgesetz, Berliner Kommentar, Berlin 2016, S. 915–923</w:t>
      </w:r>
    </w:p>
    <w:p>
      <w:pPr>
        <w:spacing w:after="240" w:line="240" w:lineRule="atLeast"/>
      </w:pPr>
      <w:r>
        <w:rPr>
          <w:smallCaps w:val="1"/>
          <w:caps w:val="0"/>
        </w:rPr>
        <w:t xml:space="preserve">Heselhaus Sebastian</w:t>
      </w:r>
      <w:r>
        <w:rPr/>
        <w:t xml:space="preserve">, Kommentierung von § 55 BNatSchG, in: Frenz, Walter/Müggenborg, Hans-Jürgen (Hrsg.), Bundesnaturschutzgesetz, Berliner Kommentar, Berlin 2016, S. 1082–1090</w:t>
      </w:r>
    </w:p>
    <w:p>
      <w:pPr>
        <w:spacing w:after="240" w:line="240" w:lineRule="atLeast"/>
      </w:pPr>
      <w:r>
        <w:rPr>
          <w:smallCaps w:val="1"/>
          <w:caps w:val="0"/>
        </w:rPr>
        <w:t xml:space="preserve">Heselhaus Sebastian</w:t>
      </w:r>
      <w:r>
        <w:rPr/>
        <w:t xml:space="preserve">, Kommentierung von § 56 BNatSchG, in: Frenz, Walter/Müggenborg, Hans-Jürgen (Hrsg.), Bundesnaturschutzgesetz, Berliner Kommentar, Berlin 2016, S. 1091–1101</w:t>
      </w:r>
    </w:p>
    <w:p>
      <w:pPr>
        <w:spacing w:after="240" w:line="240" w:lineRule="atLeast"/>
      </w:pPr>
      <w:r>
        <w:rPr>
          <w:smallCaps w:val="1"/>
          <w:caps w:val="0"/>
        </w:rPr>
        <w:t xml:space="preserve">Heselhaus Sebastian</w:t>
      </w:r>
      <w:r>
        <w:rPr/>
        <w:t xml:space="preserve">, Kommentierung von § 57 BNatSchG, in: Frenz, Walter/Müggenborg, Hans-Jürgen (Hrsg.), Bundesnaturschutzgesetz, Berliner Kommentar, Berlin 2016, S. 1102–1118</w:t>
      </w:r>
    </w:p>
    <w:p>
      <w:pPr>
        <w:spacing w:after="240" w:line="240" w:lineRule="atLeast"/>
      </w:pPr>
      <w:r>
        <w:rPr>
          <w:smallCaps w:val="1"/>
          <w:caps w:val="0"/>
        </w:rPr>
        <w:t xml:space="preserve">Heselhaus Sebastian</w:t>
      </w:r>
      <w:r>
        <w:rPr/>
        <w:t xml:space="preserve">, Kommentierung von § 63 BNatSchG, in: Frenz, Walter/Müggenborg, Hans-Jürgen (Hrsg.), Bundesnaturschutzgesetz, Berliner Kommentar, Berlin 2016, S. 1157–1188</w:t>
      </w:r>
    </w:p>
    <w:p>
      <w:pPr>
        <w:spacing w:after="240" w:line="240" w:lineRule="atLeast"/>
      </w:pPr>
      <w:r>
        <w:rPr>
          <w:smallCaps w:val="1"/>
          <w:caps w:val="0"/>
        </w:rPr>
        <w:t xml:space="preserve">Heselhaus Sebastian</w:t>
      </w:r>
      <w:r>
        <w:rPr/>
        <w:t xml:space="preserve">, Kommentierung von § 64 BNatSchG, in: Frenz, Walter/Müggenborg, Hans-Jürgen (Hrsg.), Bundesnaturschutzgesetz, Berliner Kommentar, Berlin 2016, S. 1189–1210</w:t>
      </w:r>
    </w:p>
    <w:p>
      <w:pPr>
        <w:spacing w:after="240" w:line="240" w:lineRule="atLeast"/>
      </w:pPr>
      <w:r>
        <w:rPr>
          <w:smallCaps w:val="1"/>
          <w:caps w:val="0"/>
        </w:rPr>
        <w:t xml:space="preserve">Heselhaus Sebastian</w:t>
      </w:r>
      <w:r>
        <w:rPr/>
        <w:t xml:space="preserve">, Kommentierung von § 43 WHG, in: Walter Frenz/Hans-Jürgen Müggenborg (Hrsg.), Wasserhaushaltsgesetz, Berliner Kommentar, Berlin 2011, S. 779–794</w:t>
      </w:r>
    </w:p>
    <w:p>
      <w:pPr>
        <w:spacing w:after="240" w:line="240" w:lineRule="atLeast"/>
      </w:pPr>
      <w:r>
        <w:rPr>
          <w:smallCaps w:val="1"/>
          <w:caps w:val="0"/>
        </w:rPr>
        <w:t xml:space="preserve">Heselhaus Sebastian</w:t>
      </w:r>
      <w:r>
        <w:rPr/>
        <w:t xml:space="preserve">, Kommentierung von § 44 WHG, in: Walter Frenz/Hans-Jürgen Müggenborg (Hrsg.), Wasserhaushaltsgesetz, Berliner Kommentar, Berlin 2011, S. 795–803</w:t>
      </w:r>
    </w:p>
    <w:p>
      <w:pPr>
        <w:spacing w:after="240" w:line="240" w:lineRule="atLeast"/>
      </w:pPr>
      <w:r>
        <w:rPr>
          <w:smallCaps w:val="1"/>
          <w:caps w:val="0"/>
        </w:rPr>
        <w:t xml:space="preserve">Heselhaus Sebastian</w:t>
      </w:r>
      <w:r>
        <w:rPr/>
        <w:t xml:space="preserve">, Kommentierung von § 45 WHG, in: Walter Frenz/Hans-Jürgen Müggenborg (Hrsg.), Wasserhaushaltsgesetz, Berliner Kommentar, Berlin 2011, S. 803–811</w:t>
      </w:r>
    </w:p>
    <w:p>
      <w:pPr>
        <w:spacing w:after="240" w:line="240" w:lineRule="atLeast"/>
      </w:pPr>
      <w:r>
        <w:rPr>
          <w:smallCaps w:val="1"/>
          <w:caps w:val="0"/>
        </w:rPr>
        <w:t xml:space="preserve">Heselhaus Sebastian</w:t>
      </w:r>
      <w:r>
        <w:rPr/>
        <w:t xml:space="preserve">, Kommentierung von § 55 BNatSchG, in: Walter Frenz/Hans-Jürgen Müggenborg (Hrsg.), Bundesnaturschutzgesetz, Berliner Kommentar, Berlin 2011, S. 1001–1008</w:t>
      </w:r>
    </w:p>
    <w:p>
      <w:pPr>
        <w:spacing w:after="240" w:line="240" w:lineRule="atLeast"/>
      </w:pPr>
      <w:r>
        <w:rPr>
          <w:smallCaps w:val="1"/>
          <w:caps w:val="0"/>
        </w:rPr>
        <w:t xml:space="preserve">Heselhaus Sebastian</w:t>
      </w:r>
      <w:r>
        <w:rPr/>
        <w:t xml:space="preserve">, Kommentierung von § 56 BNatSchG, in: Walter Frenz/Hans-Jürgen Müggenborg (Hrsg.), Bundesnaturschutzgesetz, Berliner Kommentar, Berlin 2011, S. 1009–1020</w:t>
      </w:r>
    </w:p>
    <w:p>
      <w:pPr>
        <w:spacing w:after="240" w:line="240" w:lineRule="atLeast"/>
      </w:pPr>
      <w:r>
        <w:rPr>
          <w:smallCaps w:val="1"/>
          <w:caps w:val="0"/>
        </w:rPr>
        <w:t xml:space="preserve">Heselhaus Sebastian</w:t>
      </w:r>
      <w:r>
        <w:rPr/>
        <w:t xml:space="preserve">, Kommentierung von § 57 BNatSchG, in: Walter Frenz/Hans-Jürgen Müggenborg (Hrsg.), Bundesnaturschutzgesetz, Berliner Kommentar, Berlin 2011, S. 1020–1037</w:t>
      </w:r>
    </w:p>
    <w:p>
      <w:pPr>
        <w:spacing w:after="240" w:line="240" w:lineRule="atLeast"/>
      </w:pPr>
      <w:r>
        <w:rPr>
          <w:smallCaps w:val="1"/>
          <w:caps w:val="0"/>
        </w:rPr>
        <w:t xml:space="preserve">Heselhaus Sebastian</w:t>
      </w:r>
      <w:r>
        <w:rPr/>
        <w:t xml:space="preserve">, Kommentierung von § 63 BNatSchG, in: Walter Frenz/Hans-Jürgen Müggenborg (Hrsg.), Bundesnaturschutzgesetz, Berliner Kommentar, Berlin 2011, S. 1073–1103</w:t>
      </w:r>
    </w:p>
    <w:p>
      <w:pPr>
        <w:spacing w:after="240" w:line="240" w:lineRule="atLeast"/>
      </w:pPr>
      <w:r>
        <w:rPr>
          <w:smallCaps w:val="1"/>
          <w:caps w:val="0"/>
        </w:rPr>
        <w:t xml:space="preserve">Heselhaus Sebastian</w:t>
      </w:r>
      <w:r>
        <w:rPr/>
        <w:t xml:space="preserve">, Kommentierung von § 64 BNatSchG, in: Walter Frenz/Hans-Jürgen Müggenborg (Hrsg.), Bundesnaturschutzgesetz, Berliner Kommentar, Berlin 2011, S. 1103–1121</w:t>
      </w:r>
    </w:p>
    <w:p>
      <w:pPr>
        <w:spacing w:after="240" w:line="240" w:lineRule="atLeast"/>
      </w:pPr>
      <w:r>
        <w:rPr>
          <w:smallCaps w:val="1"/>
          <w:caps w:val="0"/>
        </w:rPr>
        <w:t xml:space="preserve">Heselhaus Sebastian</w:t>
      </w:r>
      <w:r>
        <w:rPr/>
        <w:t xml:space="preserve">, Art. 358 AEUV, Verbindlicher Wortlaut; Hinterlgung, in: Pechstein, Matthias/Nowak, Carsten/Häde, Ulrich (Hrsg.), Frankfurter Kommentar zu EUV, GRC und AEUV, Bd. 4, Tübingen o. J., S. 1638</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w:t>
      </w:r>
      <w:r>
        <w:rPr>
          <w:smallCaps w:val="1"/>
          <w:caps w:val="0"/>
        </w:rPr>
        <w:t xml:space="preserve">Hofmann, Ekkehard</w:t>
      </w:r>
      <w:r>
        <w:rPr/>
        <w:t xml:space="preserve"> (Hrsg.), Allgemeines Verwaltungsrecht, 4. Aufl., München 2023</w:t>
      </w:r>
    </w:p>
    <w:p>
      <w:pPr>
        <w:spacing w:after="240" w:line="240" w:lineRule="atLeast"/>
      </w:pPr>
      <w:r>
        <w:rPr>
          <w:smallCaps w:val="1"/>
          <w:caps w:val="0"/>
        </w:rPr>
        <w:t xml:space="preserve">Heselhaus, Sebastian</w:t>
      </w:r>
      <w:r>
        <w:rPr/>
        <w:t xml:space="preserve"> (Hrsg.), § 1 Die öffentliche Verwaltung im System des Rechts, Allgemeines Verwaltungsrecht, 4. Aufl., München 2023</w:t>
      </w:r>
    </w:p>
    <w:p>
      <w:pPr>
        <w:spacing w:after="240" w:line="240" w:lineRule="atLeast"/>
      </w:pPr>
      <w:r>
        <w:rPr>
          <w:smallCaps w:val="1"/>
          <w:caps w:val="0"/>
        </w:rPr>
        <w:t xml:space="preserve">Heselhaus, Sebastian</w:t>
      </w:r>
      <w:r>
        <w:rPr/>
        <w:t xml:space="preserve"> (Hrsg.), § 3 Formen des Verwaltungshandelns, Allgemeines Verwaltungsrecht, 4. Aufl., München 2023</w:t>
      </w:r>
    </w:p>
    <w:p>
      <w:pPr>
        <w:spacing w:after="240" w:line="240" w:lineRule="atLeast"/>
      </w:pPr>
      <w:r>
        <w:rPr>
          <w:smallCaps w:val="1"/>
          <w:caps w:val="0"/>
        </w:rPr>
        <w:t xml:space="preserve">Heselhaus, Sebastian</w:t>
      </w:r>
      <w:r>
        <w:rPr/>
        <w:t xml:space="preserve"> (Hrsg.), § 4 Die Vorbereitung von Verwaltungsentscheidungen: Das Recht des Verwaltungsverfahrens, Allgemeines Verwaltungsrecht, München 2023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w:t>
      </w:r>
      <w:r>
        <w:rPr>
          <w:smallCaps w:val="1"/>
          <w:caps w:val="0"/>
        </w:rPr>
        <w:t xml:space="preserve">Zumoberhaus, Marion</w:t>
      </w:r>
      <w:r>
        <w:rPr/>
        <w:t xml:space="preserve"> (Hrsg.), Handbuch zum schweizerischen Energierecht, Schriften zum Energierecht, Bd. 22, Zürich 2022, https://www.dike.ch/wissenschaftliche-schriftenreihen/schriftenreihe-dike/schriften-zum-energierecht-sze/heselhaus-schreiber-zumoberhaus-handbuch-zum-schweizerischen-energierecht</w:t>
      </w:r>
    </w:p>
    <w:p>
      <w:pPr>
        <w:spacing w:after="240" w:line="240" w:lineRule="atLeast"/>
      </w:pPr>
      <w:r>
        <w:rPr>
          <w:smallCaps w:val="1"/>
          <w:caps w:val="0"/>
        </w:rPr>
        <w:t xml:space="preserve">Heselhaus, Sebastian</w:t>
      </w:r>
      <w:r>
        <w:rPr/>
        <w:t xml:space="preserve">/</w:t>
      </w:r>
      <w:r>
        <w:rPr>
          <w:smallCaps w:val="1"/>
          <w:caps w:val="0"/>
        </w:rPr>
        <w:t xml:space="preserve">Nowak, Carsten</w:t>
      </w:r>
      <w:r>
        <w:rPr/>
        <w:t xml:space="preserve"> (Hrsg.), Handbuch der Europäischen Grundrechte, 2. Aufl., München 2020</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(Hrsg.),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Bruha, Thomas</w:t>
      </w:r>
      <w:r>
        <w:rPr/>
        <w:t xml:space="preserve">/</w:t>
      </w:r>
      <w:r>
        <w:rPr>
          <w:smallCaps w:val="1"/>
          <w:caps w:val="0"/>
        </w:rPr>
        <w:t xml:space="preserve">Heselhaus, Sebastian</w:t>
      </w:r>
      <w:r>
        <w:rPr/>
        <w:t xml:space="preserve">/</w:t>
      </w:r>
      <w:r>
        <w:rPr>
          <w:smallCaps w:val="1"/>
          <w:caps w:val="0"/>
        </w:rPr>
        <w:t xml:space="preserve">Marauhn, Thilo</w:t>
      </w:r>
      <w:r>
        <w:rPr/>
        <w:t xml:space="preserve"> (Hrsg.), Legalität, Legitimität und Moral, Können Gerechtigkeitspostulate Kriege rechtfertigen?, Tübingen 2008</w:t>
      </w:r>
    </w:p>
    <w:p>
      <w:pPr>
        <w:spacing w:after="240" w:line="240" w:lineRule="atLeast"/>
      </w:pPr>
      <w:r>
        <w:rPr>
          <w:smallCaps w:val="1"/>
          <w:caps w:val="0"/>
        </w:rPr>
        <w:t xml:space="preserve">Heselhaus, Sebastian</w:t>
      </w:r>
      <w:r>
        <w:rPr/>
        <w:t xml:space="preserve">/</w:t>
      </w:r>
      <w:r>
        <w:rPr>
          <w:smallCaps w:val="1"/>
          <w:caps w:val="0"/>
        </w:rPr>
        <w:t xml:space="preserve">Nowak, Carsten</w:t>
      </w:r>
      <w:r>
        <w:rPr/>
        <w:t xml:space="preserve"> (Hrsg.), Handbuch der Europäischen Grundrechte, München 2006</w:t>
      </w:r>
    </w:p>
    <w:p>
      <w:pPr>
        <w:spacing w:after="240" w:line="240" w:lineRule="atLeast"/>
      </w:pPr>
      <w:r>
        <w:rPr>
          <w:smallCaps w:val="1"/>
          <w:caps w:val="0"/>
        </w:rPr>
        <w:t xml:space="preserve">Marauhn, Thilo</w:t>
      </w:r>
      <w:r>
        <w:rPr/>
        <w:t xml:space="preserve">/</w:t>
      </w:r>
      <w:r>
        <w:rPr>
          <w:smallCaps w:val="1"/>
          <w:caps w:val="0"/>
        </w:rPr>
        <w:t xml:space="preserve">Heselhaus, Sebastian</w:t>
      </w:r>
      <w:r>
        <w:rPr/>
        <w:t xml:space="preserve"> (Hrsg.), Staatliche Förderung für regionale Produkte, Protektionismus oder Umwelt- und Verbraucherschutz?, Tübingen 2004</w:t>
      </w:r>
    </w:p>
    <w:p>
      <w:pPr>
        <w:spacing w:after="240" w:line="240" w:lineRule="atLeast"/>
      </w:pPr>
      <w:r>
        <w:rPr>
          <w:smallCaps w:val="1"/>
          <w:caps w:val="0"/>
        </w:rPr>
        <w:t xml:space="preserve">Heselhaus, Sebastian</w:t>
      </w:r>
      <w:r>
        <w:rPr/>
        <w:t xml:space="preserve">/</w:t>
      </w:r>
      <w:r>
        <w:rPr>
          <w:smallCaps w:val="1"/>
          <w:caps w:val="0"/>
        </w:rPr>
        <w:t xml:space="preserve">Demel, Michael</w:t>
      </w:r>
      <w:r>
        <w:rPr/>
        <w:t xml:space="preserve"> (Hrsg.), Funktionen und Kontrolle der Gewalten, Assistententagung Öffentliches Recht 2000, Stuttgart 2001</w:t>
      </w:r>
    </w:p>
    <w:p>
      <w:pPr>
        <w:spacing w:after="240" w:line="240" w:lineRule="atLeast"/>
        <w:rPr>
          <w:b/>
          <w:bCs/>
        </w:rPr>
      </w:pPr>
      <w:r>
        <w:rPr>
          <w:b/>
          <w:bCs/>
        </w:rPr>
        <w:t xml:space="preserve">Herausgeberschaft eines Konferenzbandes</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2022, 5. Tagung zum Recht und Management der Energiewirtschaft an der Universität Luzern vom 29. April 2022, Schriften zum Energierecht, Bd. 25, 5. Tagung zum Recht und Management der Energiewirtschaft, Zürich; St. Gallen 2023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2021, 4. Tagung zum Recht und Management der Energiewirtschaft an der Universität Luzern vom 28. Januar 2021, Schriften zum Energierecht, Bd. 23, Zürich; St. Gallen 2022</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2020, Tagungsband zur 3. Energierechtstagung an der Universität Luzern vom 7. Februar 2020, Schriften zum Energierecht, Bd. 17, Zürich; St. Gallen 2021</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2019, Tagungsband zur 2. Energierechtstagung an der Universität Luzern vom 31. Januar 2019, Schriften zum Energierecht, Bd. 12, Zürich; St. Gallen 2019</w:t>
      </w:r>
    </w:p>
    <w:p>
      <w:pPr>
        <w:spacing w:after="240" w:line="240" w:lineRule="atLeast"/>
      </w:pPr>
      <w:r>
        <w:rPr>
          <w:smallCaps w:val="1"/>
          <w:caps w:val="0"/>
        </w:rPr>
        <w:t xml:space="preserve">Heselhaus, Sebastian</w:t>
      </w:r>
      <w:r>
        <w:rPr/>
        <w:t xml:space="preserve">/</w:t>
      </w:r>
      <w:r>
        <w:rPr>
          <w:smallCaps w:val="1"/>
          <w:caps w:val="0"/>
        </w:rPr>
        <w:t xml:space="preserve">Hänni, Julia</w:t>
      </w:r>
      <w:r>
        <w:rPr/>
        <w:t xml:space="preserve">/</w:t>
      </w:r>
      <w:r>
        <w:rPr>
          <w:smallCaps w:val="1"/>
          <w:caps w:val="0"/>
        </w:rPr>
        <w:t xml:space="preserve">Schreiber, Markus</w:t>
      </w:r>
      <w:r>
        <w:rPr/>
        <w:t xml:space="preserve"> (Hrsg.), Rechtsfragen der Energiewirtschaft, Tagungsband zur 1. Energierechtstagung an der Universität Luzern vom 23. November 2017, Schriften zum Energierecht, Bd. 10, Zürich; St. Gallen 2019</w:t>
      </w:r>
    </w:p>
    <w:p>
      <w:pPr>
        <w:spacing w:after="240" w:line="240" w:lineRule="atLeast"/>
      </w:pPr>
      <w:r>
        <w:rPr>
          <w:smallCaps w:val="1"/>
          <w:caps w:val="0"/>
        </w:rPr>
        <w:t xml:space="preserve">Hänni, Julia</w:t>
      </w:r>
      <w:r>
        <w:rPr/>
        <w:t xml:space="preserve">/</w:t>
      </w:r>
      <w:r>
        <w:rPr>
          <w:smallCaps w:val="1"/>
          <w:caps w:val="0"/>
        </w:rPr>
        <w:t xml:space="preserve">Heselhaus, Sebastian</w:t>
      </w:r>
      <w:r>
        <w:rPr/>
        <w:t xml:space="preserve">/</w:t>
      </w:r>
      <w:r>
        <w:rPr>
          <w:smallCaps w:val="1"/>
          <w:caps w:val="0"/>
        </w:rPr>
        <w:t xml:space="preserve">Loretan, Adrian</w:t>
      </w:r>
      <w:r>
        <w:rPr/>
        <w:t xml:space="preserve"> (Hrsg.), Religionsfreiheit im säkularen Staat, Aktuelle Auslegungsfragen in der Schweiz, in Deutschland und weltweit, Zürich; St. Gallen; Baden-Baden 2019</w:t>
      </w:r>
    </w:p>
    <w:p>
      <w:pPr>
        <w:spacing w:after="240" w:line="240" w:lineRule="atLeast"/>
        <w:rPr>
          <w:b/>
          <w:bCs/>
        </w:rPr>
      </w:pPr>
      <w:r>
        <w:rPr>
          <w:b/>
          <w:bCs/>
        </w:rPr>
        <w:t xml:space="preserve">Urteilsbesprechung</w:t>
      </w:r>
    </w:p>
    <w:p>
      <w:pPr>
        <w:spacing w:after="240" w:line="240" w:lineRule="atLeast"/>
      </w:pPr>
      <w:r>
        <w:rPr>
          <w:smallCaps w:val="1"/>
          <w:caps w:val="0"/>
        </w:rPr>
        <w:t xml:space="preserve">Heselhaus Sebastian</w:t>
      </w:r>
      <w:r>
        <w:rPr/>
        <w:t xml:space="preserve">, Registration Requirements for Monomer Substances Integrated in Polymers under the REACH-Regulation, in: EJRR 2010, S. 93–97</w:t>
      </w:r>
    </w:p>
    <w:p>
      <w:pPr>
        <w:spacing w:after="240" w:line="240" w:lineRule="atLeast"/>
      </w:pPr>
      <w:r>
        <w:rPr>
          <w:smallCaps w:val="1"/>
          <w:caps w:val="0"/>
        </w:rPr>
        <w:t xml:space="preserve">Heselhaus Sebastian</w:t>
      </w:r>
      <w:r>
        <w:rPr/>
        <w:t xml:space="preserve">, Enteignung der sog. Alterben nach der Wiedervereinigung, Urteil des Europäischen Gerichtshofs für Menschenrechte (EGMR) v. 28.1.2004, Beschwerden Nr. 46720/99, 72203/01 und 72552/01 - Jahn u.a./Deutschland, in: Juristische Arbeitsblätter JA 2004, S. 601 ff.</w:t>
      </w:r>
    </w:p>
    <w:p>
      <w:pPr>
        <w:spacing w:after="240" w:line="240" w:lineRule="atLeast"/>
      </w:pPr>
      <w:r>
        <w:rPr>
          <w:smallCaps w:val="1"/>
          <w:caps w:val="0"/>
        </w:rPr>
        <w:t xml:space="preserve">Heselhaus Sebastian</w:t>
      </w:r>
      <w:r>
        <w:rPr/>
        <w:t xml:space="preserve">, Anmerkung zu EuGH, Rs. C-36/98, in: EuZW 2001, S. 213 ff.</w:t>
      </w:r>
    </w:p>
    <w:p>
      <w:pPr>
        <w:spacing w:after="240" w:line="240" w:lineRule="atLeast"/>
      </w:pPr>
      <w:r>
        <w:rPr>
          <w:smallCaps w:val="1"/>
          <w:caps w:val="0"/>
        </w:rPr>
        <w:t xml:space="preserve">Heselhaus Sebastian</w:t>
      </w:r>
      <w:r>
        <w:rPr/>
        <w:t xml:space="preserve">, Recht des Vermittlungsaussschusses zur Änderung von Gesetzesbeschlüssen, BVerfG, Urteil v. 7.12.1999 - 2 BvR 301/98, in: Juristische Arbeitsblätter JA 2001, S. 203 ff.</w:t>
      </w:r>
    </w:p>
    <w:p>
      <w:pPr>
        <w:spacing w:after="240" w:line="240" w:lineRule="atLeast"/>
      </w:pPr>
      <w:r>
        <w:rPr>
          <w:smallCaps w:val="1"/>
          <w:caps w:val="0"/>
        </w:rPr>
        <w:t xml:space="preserve">Heselhaus Sebastian</w:t>
      </w:r>
      <w:r>
        <w:rPr/>
        <w:t xml:space="preserve">, Unmittelbare Wirkung von Richtlinien zwischen Privaten, EuGH, Urteil v. 26.9.2000 - C-443/98, in: Juristische Arbeitsblätter JA 2001, S. 647 ff.</w:t>
      </w:r>
    </w:p>
    <w:p>
      <w:pPr>
        <w:spacing w:after="240" w:line="240" w:lineRule="atLeast"/>
      </w:pPr>
      <w:r>
        <w:rPr>
          <w:smallCaps w:val="1"/>
          <w:caps w:val="0"/>
        </w:rPr>
        <w:t xml:space="preserve">Heselhaus Sebastian</w:t>
      </w:r>
      <w:r>
        <w:rPr/>
        <w:t xml:space="preserve">, Keine vorsorglichen Massnahmen gegen NATO-Staaten im Kosovo-Krieg, IGH, Erl. v. 2.6.1999 - 105-114, in: JA-R 2000, S. 22 ff.</w:t>
      </w:r>
    </w:p>
    <w:p>
      <w:pPr>
        <w:spacing w:after="240" w:line="240" w:lineRule="atLeast"/>
      </w:pPr>
      <w:r>
        <w:rPr>
          <w:smallCaps w:val="1"/>
          <w:caps w:val="0"/>
        </w:rPr>
        <w:t xml:space="preserve">Heselhaus Sebastian</w:t>
      </w:r>
      <w:r>
        <w:rPr/>
        <w:t xml:space="preserve">, Abgrenzung von Steuer- und Sachgesetzgebungskompetenzen, BVerfG, Urteil v. 7.5.1998 - 2 BvR 1991/95, in: Juristische Arbeitsblätter JA 1999, S. 635 ff.</w:t>
      </w:r>
    </w:p>
    <w:p>
      <w:pPr>
        <w:spacing w:after="240" w:line="240" w:lineRule="atLeast"/>
      </w:pPr>
      <w:r>
        <w:rPr>
          <w:smallCaps w:val="1"/>
          <w:caps w:val="0"/>
        </w:rPr>
        <w:t xml:space="preserve">Heselhaus Sebastian</w:t>
      </w:r>
      <w:r>
        <w:rPr/>
        <w:t xml:space="preserve">, Begriff des öffentlichen Auftraggebers, EuGH, Urteil v. 10.11.1998 - C-360/96, in: JA-R 1999, S. 58 ff.</w:t>
      </w:r>
    </w:p>
    <w:p>
      <w:pPr>
        <w:spacing w:after="240" w:line="240" w:lineRule="atLeast"/>
      </w:pPr>
      <w:r>
        <w:rPr>
          <w:smallCaps w:val="1"/>
          <w:caps w:val="0"/>
        </w:rPr>
        <w:t xml:space="preserve">Heselhaus Sebastian</w:t>
      </w:r>
      <w:r>
        <w:rPr/>
        <w:t xml:space="preserve">, Planfeststellung durch Gesetz, BVerfG, Beschl. v. 17.7.1996 - 2 BvF 2/93, in: Juristische Arbeitsblätter JA 1997, S. 839 ff.</w:t>
      </w:r>
    </w:p>
    <w:p>
      <w:pPr>
        <w:spacing w:after="240" w:line="240" w:lineRule="atLeast"/>
      </w:pPr>
      <w:r>
        <w:rPr>
          <w:smallCaps w:val="1"/>
          <w:caps w:val="0"/>
        </w:rPr>
        <w:t xml:space="preserve">Heselhaus Sebastian</w:t>
      </w:r>
      <w:r>
        <w:rPr/>
        <w:t xml:space="preserve">, Untersuchung des Verhaltens von Abgeordneten vor der Wahl durch den Bundestag, BVerfG, Beschl. v. 21.5.1996 - 2 BvE 1/95, in: Juristische Arbeitsblätter JA 1997, S. 276 ff.</w:t>
      </w:r>
    </w:p>
    <w:p>
      <w:pPr>
        <w:spacing w:after="240" w:line="240" w:lineRule="atLeast"/>
      </w:pPr>
      <w:r>
        <w:rPr>
          <w:smallCaps w:val="1"/>
          <w:caps w:val="0"/>
        </w:rPr>
        <w:t xml:space="preserve">Heselhaus Sebastian</w:t>
      </w:r>
      <w:r>
        <w:rPr/>
        <w:t xml:space="preserve">, Grundrechtlicher Schutz der Mitgliederwerbung durch die Koalitionen, BVerfG, Beschl. v. 14.11.1995 - 1 BvR 601/92, in: Juristische Arbeitsblätter JA 1996, S. 838 ff.</w:t>
      </w:r>
    </w:p>
    <w:p>
      <w:pPr>
        <w:spacing w:after="240" w:line="240" w:lineRule="atLeast"/>
      </w:pPr>
      <w:r>
        <w:rPr>
          <w:smallCaps w:val="1"/>
          <w:caps w:val="0"/>
        </w:rPr>
        <w:t xml:space="preserve">Heselhaus Sebastian</w:t>
      </w:r>
      <w:r>
        <w:rPr/>
        <w:t xml:space="preserve">, Rechtsstaatsprinzip als Verfolgungshindernis, BVerfG, Beschl. v. 15.5.1995 - 2 BvL 19/91, in: Juristische Arbeitsblätter JA 1996, S. 9 ff.</w:t>
      </w:r>
    </w:p>
    <w:p>
      <w:pPr>
        <w:spacing w:after="240" w:line="240" w:lineRule="atLeast"/>
      </w:pPr>
      <w:r>
        <w:rPr>
          <w:smallCaps w:val="1"/>
          <w:caps w:val="0"/>
        </w:rPr>
        <w:t xml:space="preserve">Heselhaus Sebastian</w:t>
      </w:r>
      <w:r>
        <w:rPr/>
        <w:t xml:space="preserve">, Zum Verhältnis von Meinungsfreiheit und Ehrenschutz bei Kollektivurteilen über Soldaten, BVerfG, Beschl. v. 10.10.1995, in: Juristische Arbeitsblätter JA 1996, S. 539 ff.</w:t>
      </w:r>
    </w:p>
    <w:p>
      <w:pPr>
        <w:spacing w:after="240" w:line="240" w:lineRule="atLeast"/>
      </w:pPr>
      <w:r>
        <w:rPr>
          <w:smallCaps w:val="1"/>
          <w:caps w:val="0"/>
        </w:rPr>
        <w:t xml:space="preserve">Heselhaus Sebastian</w:t>
      </w:r>
      <w:r>
        <w:rPr/>
        <w:t xml:space="preserve">, Zur Verfassungsmässigkeit von § 116 Arbeitsförderungsgesetz, BVerfG, Urteil v. 4.7.1995 - 1 BvR 1421/86, in: Juristische Arbeitsblätter JA 1996, S. 275 ff.</w:t>
      </w:r>
    </w:p>
    <w:p>
      <w:pPr>
        <w:spacing w:after="240" w:line="240" w:lineRule="atLeast"/>
      </w:pPr>
      <w:r>
        <w:rPr>
          <w:smallCaps w:val="1"/>
          <w:caps w:val="0"/>
        </w:rPr>
        <w:t xml:space="preserve">Heselhaus Sebastian</w:t>
      </w:r>
      <w:r>
        <w:rPr/>
        <w:t xml:space="preserve">, Anforderungen an den Beschluss einer Rechtsverordnung durch die Bundesregierung, BVerfG, Beschl. v. 11.10.1994 - 1 BvR 337/92, in: Juristische Arbeitsblätter JA 1995, S. 542 ff.</w:t>
      </w:r>
    </w:p>
    <w:p>
      <w:pPr>
        <w:spacing w:after="240" w:line="240" w:lineRule="atLeast"/>
      </w:pPr>
      <w:r>
        <w:rPr>
          <w:smallCaps w:val="1"/>
          <w:caps w:val="0"/>
        </w:rPr>
        <w:t xml:space="preserve">Heselhaus Sebastian</w:t>
      </w:r>
      <w:r>
        <w:rPr/>
        <w:t xml:space="preserve">, Kampfeinsätze der Bundeswehr, BVerfG, Urteil v. 12.7.1994 - 2 BvE 3/92, in: Juristische Arbeitsblätter JA 1995, S. 454 ff.</w:t>
      </w:r>
    </w:p>
    <w:p>
      <w:pPr>
        <w:spacing w:after="240" w:line="240" w:lineRule="atLeast"/>
      </w:pPr>
      <w:r>
        <w:rPr>
          <w:smallCaps w:val="1"/>
          <w:caps w:val="0"/>
        </w:rPr>
        <w:t xml:space="preserve">Heselhaus Sebastian</w:t>
      </w:r>
      <w:r>
        <w:rPr/>
        <w:t xml:space="preserve">, Leugnung der Judenverfolgung im "Dritten Reich", BVerfG, Beschl. v. 13.4.1994 - 1 BvR 23/94, in: Juristische Arbeitsblätter JA 1995, S. 272 ff.</w:t>
      </w:r>
    </w:p>
    <w:p>
      <w:pPr>
        <w:spacing w:after="240" w:line="240" w:lineRule="atLeast"/>
      </w:pPr>
      <w:r>
        <w:rPr>
          <w:smallCaps w:val="1"/>
          <w:caps w:val="0"/>
        </w:rPr>
        <w:t xml:space="preserve">Heselhaus Sebastian</w:t>
      </w:r>
      <w:r>
        <w:rPr/>
        <w:t xml:space="preserve">, Verfassungsmässigkeit der Auslegung des § 240 I StGB, BVerfG, Beschl. v. 10.1.1995 - 1 BvR 718/89, in: Juristische Arbeitsblätter JA 1995, S. 748 ff.</w:t>
      </w:r>
    </w:p>
    <w:p>
      <w:pPr>
        <w:spacing w:after="240" w:line="240" w:lineRule="atLeast"/>
      </w:pPr>
      <w:r>
        <w:rPr>
          <w:smallCaps w:val="1"/>
          <w:caps w:val="0"/>
        </w:rPr>
        <w:t xml:space="preserve">Heselhaus Sebastian</w:t>
      </w:r>
      <w:r>
        <w:rPr/>
        <w:t xml:space="preserve">, Voraussetzungen der Parteieigenschaft, BVerfG, Beschl. v. 17.11.1994 - 2 BvB 2 und 3/93, in: Juristische Arbeitsblätter JA 1995, S. 631 ff.</w:t>
      </w:r>
    </w:p>
    <w:p>
      <w:pPr>
        <w:spacing w:after="240" w:line="240" w:lineRule="atLeast"/>
      </w:pPr>
      <w:r>
        <w:rPr>
          <w:smallCaps w:val="1"/>
          <w:caps w:val="0"/>
        </w:rPr>
        <w:t xml:space="preserve">Heselhaus Sebastian</w:t>
      </w:r>
      <w:r>
        <w:rPr/>
        <w:t xml:space="preserve">, Wirksamer Schutz vor Benachteiligungen wegen des Geschlechts, BVerfG, Beschl. v. 16.11.1993 - 1 BvR 258/86, in: Juristische Arbeitsblätter JA 1994, S. 366 ff.</w:t>
      </w:r>
    </w:p>
    <w:p>
      <w:pPr>
        <w:spacing w:after="240" w:line="240" w:lineRule="atLeast"/>
        <w:rPr>
          <w:b/>
          <w:bCs/>
        </w:rPr>
      </w:pPr>
      <w:r>
        <w:rPr>
          <w:b/>
          <w:bCs/>
        </w:rPr>
        <w:t xml:space="preserve">Rezension, Editorial</w:t>
      </w:r>
    </w:p>
    <w:p>
      <w:pPr>
        <w:spacing w:after="240" w:line="240" w:lineRule="atLeast"/>
      </w:pPr>
      <w:r>
        <w:rPr>
          <w:smallCaps w:val="1"/>
          <w:caps w:val="0"/>
        </w:rPr>
        <w:t xml:space="preserve">Heselhaus Sebastian</w:t>
      </w:r>
      <w:r>
        <w:rPr/>
        <w:t xml:space="preserve">, Buchbesprechung: Claudia Denfeld, Hans Wehberg (1885-1962). Die Organisation der Staatengemeinschaft; Nomos Verlagsgesellschaft, Baden-Baden 2008, in: AVR 2009</w:t>
      </w:r>
    </w:p>
    <w:p>
      <w:pPr>
        <w:spacing w:after="240" w:line="240" w:lineRule="atLeast"/>
      </w:pPr>
      <w:r>
        <w:rPr>
          <w:smallCaps w:val="1"/>
          <w:caps w:val="0"/>
        </w:rPr>
        <w:t xml:space="preserve">Heselhaus Sebastian</w:t>
      </w:r>
      <w:r>
        <w:rPr/>
        <w:t xml:space="preserve">, Buchbesprechung: Hans-Wolfgang Arndt, Europarecht, 4. Aufl. 1999, in: Juristische Arbeitsblätter JA 12/2000, S. 6 ff.</w:t>
      </w:r>
    </w:p>
    <w:p>
      <w:pPr>
        <w:spacing w:after="240" w:line="240" w:lineRule="atLeast"/>
      </w:pPr>
      <w:r>
        <w:rPr>
          <w:smallCaps w:val="1"/>
          <w:caps w:val="0"/>
        </w:rPr>
        <w:t xml:space="preserve">Heselhaus Sebastian</w:t>
      </w:r>
      <w:r>
        <w:rPr/>
        <w:t xml:space="preserve">, Buchbesprechung: Hans-Wolfgang Arndt/Kristian Fischer, Europarecht, 20 Fälle mit Lösungen, 2. Aufl. 1999, in: Juristische Arbeitsblätter JA 12/2000, S. 6 ff.</w:t>
      </w:r>
    </w:p>
    <w:p>
      <w:pPr>
        <w:spacing w:after="240" w:line="240" w:lineRule="atLeast"/>
      </w:pPr>
      <w:r>
        <w:rPr>
          <w:smallCaps w:val="1"/>
          <w:caps w:val="0"/>
        </w:rPr>
        <w:t xml:space="preserve">Heselhaus Sebastian</w:t>
      </w:r>
      <w:r>
        <w:rPr/>
        <w:t xml:space="preserve">, Buchbesprechung: Reinhold Zippelius, Allgemeine Staatslehre, Politikwissenschaft, 13. Aufl. 1999, in: Juristische Arbeitsblätter JA 12/2000, S. 5 ff.</w:t>
      </w:r>
    </w:p>
    <w:p>
      <w:pPr>
        <w:spacing w:after="240" w:line="240" w:lineRule="atLeast"/>
      </w:pPr>
      <w:r>
        <w:rPr>
          <w:smallCaps w:val="1"/>
          <w:caps w:val="0"/>
        </w:rPr>
        <w:t xml:space="preserve">Heselhaus Sebastian</w:t>
      </w:r>
      <w:r>
        <w:rPr/>
        <w:t xml:space="preserve">, Buchbesprechung: Roland Fleury, Verfassungsprozessrecht, 3. Aufl. 2000, in: Juristische Arbeitsblätter JA 12/2000, S. 5 ff.</w:t>
      </w:r>
    </w:p>
    <w:p>
      <w:pPr>
        <w:spacing w:after="240" w:line="240" w:lineRule="atLeast"/>
      </w:pPr>
      <w:r>
        <w:rPr>
          <w:smallCaps w:val="1"/>
          <w:caps w:val="0"/>
        </w:rPr>
        <w:t xml:space="preserve">Heselhaus Sebastian</w:t>
      </w:r>
      <w:r>
        <w:rPr/>
        <w:t xml:space="preserve">, Buchbesprechung: Ulrich Battis/Christoph Gusy, Einführung in das Staatsrecht, 4. Aufl. 1999, in: Juristische Arbeitsblätter JA 12/2000, S. 5 ff.</w:t>
      </w:r>
    </w:p>
    <w:p>
      <w:pPr>
        <w:spacing w:after="240" w:line="240" w:lineRule="atLeast"/>
      </w:pPr>
      <w:r>
        <w:rPr>
          <w:smallCaps w:val="1"/>
          <w:caps w:val="0"/>
        </w:rPr>
        <w:t xml:space="preserve">Heselhaus Sebastian</w:t>
      </w:r>
      <w:r>
        <w:rPr/>
        <w:t xml:space="preserve">, Buchbesprechung: Hans Herbert von Arnim, Die Partei, der Abgeordnete und das Geld - Parteienfinanzierung in Deutschland, in: Juristische Arbeitsblätter JA 7/1997, S. 10 ff.</w:t>
      </w:r>
    </w:p>
    <w:p>
      <w:pPr>
        <w:spacing w:after="240" w:line="240" w:lineRule="atLeast"/>
        <w:rPr>
          <w:b/>
          <w:bCs/>
        </w:rPr>
      </w:pPr>
      <w:r>
        <w:rPr>
          <w:b/>
          <w:bCs/>
        </w:rPr>
        <w:t xml:space="preserve">Artikel in Publikumsmedien</w:t>
      </w:r>
    </w:p>
    <w:p>
      <w:pPr>
        <w:spacing w:after="240" w:line="240" w:lineRule="atLeast"/>
      </w:pPr>
      <w:r>
        <w:rPr>
          <w:smallCaps w:val="1"/>
          <w:caps w:val="0"/>
        </w:rPr>
        <w:t xml:space="preserve">Heselhaus Sebastian</w:t>
      </w:r>
      <w:r>
        <w:rPr/>
        <w:t xml:space="preserve">, Reuss-Initiative, Fernsehen Tele1 2025</w:t>
      </w:r>
    </w:p>
    <w:p>
      <w:pPr>
        <w:spacing w:after="240" w:line="240" w:lineRule="atLeast"/>
      </w:pPr>
      <w:r>
        <w:rPr>
          <w:smallCaps w:val="1"/>
          <w:caps w:val="0"/>
        </w:rPr>
        <w:t xml:space="preserve">Heselhaus Sebastian</w:t>
      </w:r>
      <w:r>
        <w:rPr/>
        <w:t xml:space="preserve">/</w:t>
      </w:r>
      <w:r>
        <w:rPr>
          <w:smallCaps w:val="1"/>
          <w:caps w:val="0"/>
        </w:rPr>
        <w:t xml:space="preserve">Purnhagen Peter</w:t>
      </w:r>
      <w:r>
        <w:rPr/>
        <w:t xml:space="preserve">, Übungsfall: "Vandalismus im Wahlkampf - Zur Rechtmässigkeit eines Kostenbescheids im Polizeirecht", StudZR 1/2007, S. 129–151</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Heselhaus Sebastian</w:t>
      </w:r>
      <w:r>
        <w:rPr/>
        <w:t xml:space="preserve">, Evaluationsbericht für die Deutsche Forschungsgemeinschaft zum Energierecht, 2025</w:t>
      </w:r>
    </w:p>
    <w:p>
      <w:pPr>
        <w:spacing w:after="240" w:line="240" w:lineRule="atLeast"/>
      </w:pPr>
      <w:r>
        <w:rPr>
          <w:smallCaps w:val="1"/>
          <w:caps w:val="0"/>
        </w:rPr>
        <w:t xml:space="preserve">Heselhaus Sebastian</w:t>
      </w:r>
      <w:r>
        <w:rPr/>
        <w:t xml:space="preserve">, Rechtsvergleichendes Gutachten über die Spielräume für Beihilfen (Subventionen) an Schweizer Unternehmen, die unter das Emissionshandelssystem fallen, 2024</w:t>
      </w:r>
    </w:p>
    <w:p>
      <w:pPr>
        <w:spacing w:after="240" w:line="240" w:lineRule="atLeast"/>
      </w:pPr>
      <w:r>
        <w:rPr>
          <w:smallCaps w:val="1"/>
          <w:caps w:val="0"/>
        </w:rPr>
        <w:t xml:space="preserve">Heselhaus Sebastian</w:t>
      </w:r>
      <w:r>
        <w:rPr/>
        <w:t xml:space="preserve">, Der Stand der Technik im Schweizer Umweltrecht und die beste verfügbare Technik (BVT) in der EU im Rechtsvergleich, Bern 31.12.2023</w:t>
      </w:r>
    </w:p>
    <w:p>
      <w:pPr>
        <w:spacing w:after="240" w:line="240" w:lineRule="atLeast"/>
      </w:pPr>
      <w:r>
        <w:rPr>
          <w:smallCaps w:val="1"/>
          <w:caps w:val="0"/>
        </w:rPr>
        <w:t xml:space="preserve">Heselhaus Sebastian</w:t>
      </w:r>
      <w:r>
        <w:rPr/>
        <w:t xml:space="preserve">/</w:t>
      </w:r>
      <w:r>
        <w:rPr>
          <w:smallCaps w:val="1"/>
          <w:caps w:val="0"/>
        </w:rPr>
        <w:t xml:space="preserve">Vanhooren Marlies</w:t>
      </w:r>
      <w:r>
        <w:rPr/>
        <w:t xml:space="preserve">/</w:t>
      </w:r>
      <w:r>
        <w:rPr>
          <w:smallCaps w:val="1"/>
          <w:caps w:val="0"/>
        </w:rPr>
        <w:t xml:space="preserve">Colombo Esmeralda</w:t>
      </w:r>
      <w:r>
        <w:rPr/>
        <w:t xml:space="preserve">, Rechtsgutachten zum Vergleich der rechtlichen Grundlagen in der Schweiz für eine Bodenkartierung im Hinblick auf die Bodenstrategie Schweiz mit ausgewählten Mitgliedstaaten der EU und der OECD, 24.02.2023</w:t>
      </w:r>
    </w:p>
    <w:p>
      <w:pPr>
        <w:spacing w:after="240" w:line="240" w:lineRule="atLeast"/>
      </w:pPr>
      <w:r>
        <w:rPr>
          <w:smallCaps w:val="1"/>
          <w:caps w:val="0"/>
        </w:rPr>
        <w:t xml:space="preserve">Heselhaus Sebastian</w:t>
      </w:r>
      <w:r>
        <w:rPr/>
        <w:t xml:space="preserve">/</w:t>
      </w:r>
      <w:r>
        <w:rPr>
          <w:smallCaps w:val="1"/>
          <w:caps w:val="0"/>
        </w:rPr>
        <w:t xml:space="preserve">Fellmann Walter</w:t>
      </w:r>
      <w:r>
        <w:rPr/>
        <w:t xml:space="preserve">/</w:t>
      </w:r>
      <w:r>
        <w:rPr>
          <w:smallCaps w:val="1"/>
          <w:caps w:val="0"/>
        </w:rPr>
        <w:t xml:space="preserve">Colombo Esmeralda</w:t>
      </w:r>
      <w:r>
        <w:rPr/>
        <w:t xml:space="preserve">/</w:t>
      </w:r>
      <w:r>
        <w:rPr>
          <w:smallCaps w:val="1"/>
          <w:caps w:val="0"/>
        </w:rPr>
        <w:t xml:space="preserve">Baldvinsson Gunnar</w:t>
      </w:r>
      <w:r>
        <w:rPr/>
        <w:t xml:space="preserve">/</w:t>
      </w:r>
      <w:r>
        <w:rPr>
          <w:smallCaps w:val="1"/>
          <w:caps w:val="0"/>
        </w:rPr>
        <w:t xml:space="preserve">Lee Robert</w:t>
      </w:r>
      <w:r>
        <w:rPr/>
        <w:t xml:space="preserve">/</w:t>
      </w:r>
      <w:r>
        <w:rPr>
          <w:smallCaps w:val="1"/>
          <w:caps w:val="0"/>
        </w:rPr>
        <w:t xml:space="preserve">Grochowski Mateusz</w:t>
      </w:r>
      <w:r>
        <w:rPr/>
        <w:t xml:space="preserve">/</w:t>
      </w:r>
      <w:r>
        <w:rPr>
          <w:smallCaps w:val="1"/>
          <w:caps w:val="0"/>
        </w:rPr>
        <w:t xml:space="preserve">Dernauer Marc</w:t>
      </w:r>
      <w:r>
        <w:rPr/>
        <w:t xml:space="preserve">, Beilageband A im Rahmen der Regulierungsfolgenabschätzung zur Modernisierung des Gewährleistungsreim, 2022</w:t>
      </w:r>
    </w:p>
    <w:p>
      <w:pPr>
        <w:spacing w:after="240" w:line="240" w:lineRule="atLeast"/>
      </w:pPr>
      <w:r>
        <w:rPr>
          <w:smallCaps w:val="1"/>
          <w:caps w:val="0"/>
        </w:rPr>
        <w:t xml:space="preserve">Heselhaus Sebastian</w:t>
      </w:r>
      <w:r>
        <w:rPr/>
        <w:t xml:space="preserve">, Gutachten zum Freizügigkeitsabkommen zwischen der Schweiz und der EU, 2012</w:t>
      </w:r>
    </w:p>
    <w:p>
      <w:pPr>
        <w:spacing w:after="240" w:line="240" w:lineRule="atLeast"/>
      </w:pPr>
      <w:r>
        <w:rPr>
          <w:smallCaps w:val="1"/>
          <w:caps w:val="0"/>
        </w:rPr>
        <w:t xml:space="preserve">Heselhaus Sebastian</w:t>
      </w:r>
      <w:r>
        <w:rPr/>
        <w:t xml:space="preserve">, Gutachten zum schweizerischen Umweltrecht und den Bilateralen Abkommen, 2012</w:t>
      </w:r>
    </w:p>
    <w:p>
      <w:pPr>
        <w:spacing w:after="240" w:line="240" w:lineRule="atLeast"/>
      </w:pPr>
      <w:r>
        <w:rPr>
          <w:smallCaps w:val="1"/>
          <w:caps w:val="0"/>
        </w:rPr>
        <w:t xml:space="preserve">Heselhaus Sebastian</w:t>
      </w:r>
      <w:r>
        <w:rPr/>
        <w:t xml:space="preserve">, Gutachten zum Landverkehrsabkommen zwischen der Schweiz und der EU, 2009</w:t>
      </w:r>
    </w:p>
    <w:p>
      <w:pPr>
        <w:spacing w:after="240" w:line="240" w:lineRule="atLeast"/>
      </w:pPr>
      <w:r>
        <w:rPr>
          <w:smallCaps w:val="1"/>
          <w:caps w:val="0"/>
        </w:rPr>
        <w:t xml:space="preserve">Heselhaus Sebastian</w:t>
      </w:r>
      <w:r>
        <w:rPr/>
        <w:t xml:space="preserve">, Gutachten zu Fragen des internationalen und europäischen Rechts der Entwicklungshilfe, 2007</w:t>
      </w:r>
    </w:p>
    <w:p>
      <w:pPr>
        <w:spacing w:after="240" w:line="240" w:lineRule="atLeast"/>
      </w:pPr>
      <w:r>
        <w:rPr>
          <w:smallCaps w:val="1"/>
          <w:caps w:val="0"/>
        </w:rPr>
        <w:t xml:space="preserve">Heselhaus Sebastian</w:t>
      </w:r>
      <w:r>
        <w:rPr/>
        <w:t xml:space="preserve">, Gutachten zu Fragen des internationalen und europäischen Umweltrechts, 2007</w:t>
      </w:r>
    </w:p>
    <w:p>
      <w:pPr>
        <w:spacing w:after="240" w:line="240" w:lineRule="atLeast"/>
      </w:pPr>
      <w:r>
        <w:rPr>
          <w:smallCaps w:val="1"/>
          <w:caps w:val="0"/>
        </w:rPr>
        <w:t xml:space="preserve">Heselhaus Sebastian</w:t>
      </w:r>
      <w:r>
        <w:rPr/>
        <w:t xml:space="preserve">, Gutachten zu Fragen von Individualansprüchen von Kriegsgefangenen in Deutschland, 2007</w:t>
      </w:r>
    </w:p>
    <w:p>
      <w:pPr>
        <w:spacing w:after="240" w:line="240" w:lineRule="atLeast"/>
      </w:pPr>
      <w:r>
        <w:rPr>
          <w:smallCaps w:val="1"/>
          <w:caps w:val="0"/>
        </w:rPr>
        <w:t xml:space="preserve">Heselhaus Sebastian</w:t>
      </w:r>
      <w:r>
        <w:rPr/>
        <w:t xml:space="preserve">, Gutachten zum EU-Beihilferecht, 2007</w:t>
      </w:r>
    </w:p>
    <w:p>
      <w:pPr>
        <w:spacing w:after="240" w:line="240" w:lineRule="atLeast"/>
      </w:pPr>
      <w:r>
        <w:rPr>
          <w:smallCaps w:val="1"/>
          <w:caps w:val="0"/>
        </w:rPr>
        <w:t xml:space="preserve">Heselhaus Sebastian</w:t>
      </w:r>
      <w:r>
        <w:rPr/>
        <w:t xml:space="preserve">, Gutachten zum schweizerischen und Luzerner Verfassungsrecht, 2007</w:t>
      </w:r>
    </w:p>
    <w:p>
      <w:pPr>
        <w:spacing w:after="240" w:line="240" w:lineRule="atLeast"/>
        <w:rPr>
          <w:b/>
          <w:bCs/>
        </w:rPr>
      </w:pPr>
      <w:r>
        <w:rPr>
          <w:b/>
          <w:bCs/>
        </w:rPr>
        <w:t xml:space="preserve">Interview</w:t>
      </w:r>
    </w:p>
    <w:p>
      <w:pPr>
        <w:spacing w:after="240" w:line="240" w:lineRule="atLeast"/>
      </w:pPr>
      <w:r>
        <w:rPr>
          <w:smallCaps w:val="1"/>
          <w:caps w:val="0"/>
        </w:rPr>
        <w:t xml:space="preserve">Schaffer Lena Maria</w:t>
      </w:r>
      <w:r>
        <w:rPr/>
        <w:t xml:space="preserve">/</w:t>
      </w:r>
      <w:r>
        <w:rPr>
          <w:smallCaps w:val="1"/>
          <w:caps w:val="0"/>
        </w:rPr>
        <w:t xml:space="preserve">Lüchinger Simon</w:t>
      </w:r>
      <w:r>
        <w:rPr/>
        <w:t xml:space="preserve">/</w:t>
      </w:r>
      <w:r>
        <w:rPr>
          <w:smallCaps w:val="1"/>
          <w:caps w:val="0"/>
        </w:rPr>
        <w:t xml:space="preserve">Heselhaus Sebastian</w:t>
      </w:r>
      <w:r>
        <w:rPr/>
        <w:t xml:space="preserve">, Klimawandel: "Kompetenzen bündeln", cogito. Das Wissensmagazin der Universität Luzern, 24.11.2024, https://www.unilu.ch/fileadmin/universitaet/dienste/unikomm/dokumente/cogito/cogito_13_2024.pdf</w:t>
      </w:r>
    </w:p>
    <w:p>
      <w:pPr>
        <w:spacing w:after="240" w:line="240" w:lineRule="atLeast"/>
      </w:pPr>
      <w:r>
        <w:rPr>
          <w:smallCaps w:val="1"/>
          <w:caps w:val="0"/>
        </w:rPr>
        <w:t xml:space="preserve">Heselhaus Sebastian</w:t>
      </w:r>
      <w:r>
        <w:rPr/>
        <w:t xml:space="preserve">, Der Europäische Gerichtshof für Menschenrechte (EGMR) die Schweiz verurteilt, weil sie nicht genug für den Klimaschutz getan hat., Blick, 10.04.2024, https://www.blick.ch/politik/das-bedeutet-der-strassburg-entscheid-wirklich-kann-die-schweiz-das-klima-urteil-einfach-ignorieren-id19621193.html?utm_medium=social&amp;utm_campaign=share-button&amp;utm_source=copy-to-clipboard</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Ein Verbot, für das ihr die Macht fehlt, Klima- und Energiestrategie der Stadt Luzern, Luzerner Anzeiger, 15.03.2022</w:t>
      </w:r>
    </w:p>
    <w:p>
      <w:pPr>
        <w:spacing w:after="240" w:line="240" w:lineRule="atLeast"/>
      </w:pPr>
      <w:r>
        <w:rPr>
          <w:smallCaps w:val="1"/>
          <w:caps w:val="0"/>
        </w:rPr>
        <w:t xml:space="preserve">Heselhaus Sebastian</w:t>
      </w:r>
      <w:r>
        <w:rPr/>
        <w:t xml:space="preserve">, Kleidervorschriften an Schulen, zentralplus - Onlinemagazin für Luzern und Zug, 2022</w:t>
      </w:r>
    </w:p>
    <w:p>
      <w:pPr>
        <w:spacing w:after="240" w:line="240" w:lineRule="atLeast"/>
      </w:pPr>
      <w:r>
        <w:rPr>
          <w:smallCaps w:val="1"/>
          <w:caps w:val="0"/>
        </w:rPr>
        <w:t xml:space="preserve">Heselhaus Sebastian</w:t>
      </w:r>
      <w:r>
        <w:rPr/>
        <w:t xml:space="preserve">, Klimaklagen, Handelszeitung, 2022</w:t>
      </w:r>
    </w:p>
    <w:p>
      <w:pPr>
        <w:spacing w:after="240" w:line="240" w:lineRule="atLeast"/>
      </w:pPr>
      <w:r>
        <w:rPr>
          <w:smallCaps w:val="1"/>
          <w:caps w:val="0"/>
        </w:rPr>
        <w:t xml:space="preserve">Heselhaus Sebastian</w:t>
      </w:r>
      <w:r>
        <w:rPr/>
        <w:t xml:space="preserve">, Meinungsfreiheit und Kunst, Pilatus Today, 2022</w:t>
      </w:r>
    </w:p>
    <w:p>
      <w:pPr>
        <w:spacing w:after="240" w:line="240" w:lineRule="atLeast"/>
      </w:pPr>
      <w:r>
        <w:rPr>
          <w:smallCaps w:val="1"/>
          <w:caps w:val="0"/>
        </w:rPr>
        <w:t xml:space="preserve">Heselhaus Sebastian</w:t>
      </w:r>
      <w:r>
        <w:rPr/>
        <w:t xml:space="preserve">, Sind wir noch frei, Herr Heselhaus?, Luzerner Zeitung, 07.04.2021, https://www.unilu.ch/fakultaeten/rf/professuren/heselhaus-sebastian/news/sind-wir-noch-frei-5811/</w:t>
      </w:r>
    </w:p>
    <w:p>
      <w:pPr>
        <w:spacing w:after="240" w:line="240" w:lineRule="atLeast"/>
        <w:rPr>
          <w:b/>
          <w:bCs/>
        </w:rPr>
      </w:pPr>
      <w:r>
        <w:rPr>
          <w:b/>
          <w:bCs/>
        </w:rPr>
        <w:t xml:space="preserve">Sonstige</w:t>
      </w:r>
    </w:p>
    <w:p>
      <w:pPr>
        <w:spacing w:after="240" w:line="240" w:lineRule="atLeast"/>
      </w:pPr>
      <w:r>
        <w:rPr>
          <w:smallCaps w:val="1"/>
          <w:caps w:val="0"/>
        </w:rPr>
        <w:t xml:space="preserve">Heselhaus Sebastian</w:t>
      </w:r>
      <w:r>
        <w:rPr/>
        <w:t xml:space="preserve">, Literatur zum internationalen ausländischen Umweltrecht, 2023</w:t>
      </w:r>
    </w:p>
    <w:p>
      <w:pPr>
        <w:spacing w:after="240" w:line="240" w:lineRule="atLeast"/>
      </w:pPr>
      <w:r>
        <w:rPr>
          <w:smallCaps w:val="1"/>
          <w:caps w:val="0"/>
        </w:rPr>
        <w:t xml:space="preserve">Heselhaus Sebastian</w:t>
      </w:r>
      <w:r>
        <w:rPr/>
        <w:t xml:space="preserve">, Literatur zum internationalen ausländischen Umweltrecht, 2022</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rPr>
          <w:b/>
          <w:bCs/>
        </w:rPr>
      </w:pPr>
      <w:r>
        <w:rPr>
          <w:b/>
          <w:bCs/>
        </w:rPr>
        <w:t xml:space="preserve">Working Paper</w:t>
      </w:r>
    </w:p>
    <w:p>
      <w:pPr>
        <w:spacing w:after="240" w:line="240" w:lineRule="atLeast"/>
      </w:pPr>
      <w:r>
        <w:rPr>
          <w:smallCaps w:val="1"/>
          <w:caps w:val="0"/>
        </w:rPr>
        <w:t xml:space="preserve">Kober Tom</w:t>
      </w:r>
      <w:r>
        <w:rPr/>
        <w:t xml:space="preserve">/</w:t>
      </w:r>
      <w:r>
        <w:rPr>
          <w:smallCaps w:val="1"/>
          <w:caps w:val="0"/>
        </w:rPr>
        <w:t xml:space="preserve">Bauer Christian</w:t>
      </w:r>
      <w:r>
        <w:rPr/>
        <w:t xml:space="preserve">/</w:t>
      </w:r>
      <w:r>
        <w:rPr>
          <w:smallCaps w:val="1"/>
          <w:caps w:val="0"/>
        </w:rPr>
        <w:t xml:space="preserve">Bach Christian</w:t>
      </w:r>
      <w:r>
        <w:rPr/>
        <w:t xml:space="preserve">/</w:t>
      </w:r>
      <w:r>
        <w:rPr>
          <w:smallCaps w:val="1"/>
          <w:caps w:val="0"/>
        </w:rPr>
        <w:t xml:space="preserve">Beuse Martin</w:t>
      </w:r>
      <w:r>
        <w:rPr/>
        <w:t xml:space="preserve">/</w:t>
      </w:r>
      <w:r>
        <w:rPr>
          <w:smallCaps w:val="1"/>
          <w:caps w:val="0"/>
        </w:rPr>
        <w:t xml:space="preserve">Georges Gil</w:t>
      </w:r>
      <w:r>
        <w:rPr/>
        <w:t xml:space="preserve">/</w:t>
      </w:r>
      <w:r>
        <w:rPr>
          <w:smallCaps w:val="1"/>
          <w:caps w:val="0"/>
        </w:rPr>
        <w:t xml:space="preserve">Held Maximilian</w:t>
      </w:r>
      <w:r>
        <w:rPr/>
        <w:t xml:space="preserve">/</w:t>
      </w:r>
      <w:r>
        <w:rPr>
          <w:smallCaps w:val="1"/>
          <w:caps w:val="0"/>
        </w:rPr>
        <w:t xml:space="preserve">Heselhaus Sebastian</w:t>
      </w:r>
      <w:r>
        <w:rPr/>
        <w:t xml:space="preserve">/</w:t>
      </w:r>
      <w:r>
        <w:rPr>
          <w:smallCaps w:val="1"/>
          <w:caps w:val="0"/>
        </w:rPr>
        <w:t xml:space="preserve">Korba Petr</w:t>
      </w:r>
      <w:r>
        <w:rPr/>
        <w:t xml:space="preserve">/</w:t>
      </w:r>
      <w:r>
        <w:rPr>
          <w:smallCaps w:val="1"/>
          <w:caps w:val="0"/>
        </w:rPr>
        <w:t xml:space="preserve">Küng Lukas</w:t>
      </w:r>
      <w:r>
        <w:rPr/>
        <w:t xml:space="preserve">/</w:t>
      </w:r>
      <w:r>
        <w:rPr>
          <w:smallCaps w:val="1"/>
          <w:caps w:val="0"/>
        </w:rPr>
        <w:t xml:space="preserve">Malhotra Abishek</w:t>
      </w:r>
      <w:r>
        <w:rPr/>
        <w:t xml:space="preserve">/</w:t>
      </w:r>
      <w:r>
        <w:rPr>
          <w:smallCaps w:val="1"/>
          <w:caps w:val="0"/>
        </w:rPr>
        <w:t xml:space="preserve">Moebus Sandra</w:t>
      </w:r>
      <w:r>
        <w:rPr/>
        <w:t xml:space="preserve">/</w:t>
      </w:r>
      <w:r>
        <w:rPr>
          <w:smallCaps w:val="1"/>
          <w:caps w:val="0"/>
        </w:rPr>
        <w:t xml:space="preserve">Parra David</w:t>
      </w:r>
      <w:r>
        <w:rPr/>
        <w:t xml:space="preserve">/</w:t>
      </w:r>
      <w:r>
        <w:rPr>
          <w:smallCaps w:val="1"/>
          <w:caps w:val="0"/>
        </w:rPr>
        <w:t xml:space="preserve">Roth Jörg</w:t>
      </w:r>
      <w:r>
        <w:rPr/>
        <w:t xml:space="preserve">/</w:t>
      </w:r>
      <w:r>
        <w:rPr>
          <w:smallCaps w:val="1"/>
          <w:caps w:val="0"/>
        </w:rPr>
        <w:t xml:space="preserve">Rüdisüli Martin</w:t>
      </w:r>
      <w:r>
        <w:rPr/>
        <w:t xml:space="preserve">/</w:t>
      </w:r>
      <w:r>
        <w:rPr>
          <w:smallCaps w:val="1"/>
          <w:caps w:val="0"/>
        </w:rPr>
        <w:t xml:space="preserve">Schreiber Markus</w:t>
      </w:r>
      <w:r>
        <w:rPr/>
        <w:t xml:space="preserve">, Power-to-X: Perspektiven in der Schweiz, Ein Weissbuch, Villigen 2019, https://doi.org/10.3929/ethz-b-000525806</w:t>
      </w:r>
    </w:p>
    <w:p>
      <w:pPr>
        <w:spacing w:after="240" w:line="240" w:lineRule="atLeast"/>
      </w:pPr>
      <w:r>
        <w:rPr>
          <w:smallCaps w:val="1"/>
          <w:caps w:val="0"/>
        </w:rPr>
        <w:t xml:space="preserve">Thaler Philipp</w:t>
      </w:r>
      <w:r>
        <w:rPr/>
        <w:t xml:space="preserve">/</w:t>
      </w:r>
      <w:r>
        <w:rPr>
          <w:smallCaps w:val="1"/>
          <w:caps w:val="0"/>
        </w:rPr>
        <w:t xml:space="preserve">Hofmann Benjamin</w:t>
      </w:r>
      <w:r>
        <w:rPr/>
        <w:t xml:space="preserve">/</w:t>
      </w:r>
      <w:r>
        <w:rPr>
          <w:smallCaps w:val="1"/>
          <w:caps w:val="0"/>
        </w:rPr>
        <w:t xml:space="preserve">Abegg Andreas</w:t>
      </w:r>
      <w:r>
        <w:rPr/>
        <w:t xml:space="preserve">/</w:t>
      </w:r>
      <w:r>
        <w:rPr>
          <w:smallCaps w:val="1"/>
          <w:caps w:val="0"/>
        </w:rPr>
        <w:t xml:space="preserve">Bornemann Basil</w:t>
      </w:r>
      <w:r>
        <w:rPr/>
        <w:t xml:space="preserve">/</w:t>
      </w:r>
      <w:r>
        <w:rPr>
          <w:smallCaps w:val="1"/>
          <w:caps w:val="0"/>
        </w:rPr>
        <w:t xml:space="preserve">Braunreiter Lukas</w:t>
      </w:r>
      <w:r>
        <w:rPr/>
        <w:t xml:space="preserve">/</w:t>
      </w:r>
      <w:r>
        <w:rPr>
          <w:smallCaps w:val="1"/>
          <w:caps w:val="0"/>
        </w:rPr>
        <w:t xml:space="preserve">Burger Paul</w:t>
      </w:r>
      <w:r>
        <w:rPr/>
        <w:t xml:space="preserve">/</w:t>
      </w:r>
      <w:r>
        <w:rPr>
          <w:smallCaps w:val="1"/>
          <w:caps w:val="0"/>
        </w:rPr>
        <w:t xml:space="preserve">Dörig-Fässler Leonie</w:t>
      </w:r>
      <w:r>
        <w:rPr/>
        <w:t xml:space="preserve">/</w:t>
      </w:r>
      <w:r>
        <w:rPr>
          <w:smallCaps w:val="1"/>
          <w:caps w:val="0"/>
        </w:rPr>
        <w:t xml:space="preserve">Ejderyan Olivier</w:t>
      </w:r>
      <w:r>
        <w:rPr/>
        <w:t xml:space="preserve">/</w:t>
      </w:r>
      <w:r>
        <w:rPr>
          <w:smallCaps w:val="1"/>
          <w:caps w:val="0"/>
        </w:rPr>
        <w:t xml:space="preserve">Heselhaus Sebastian</w:t>
      </w:r>
      <w:r>
        <w:rPr/>
        <w:t xml:space="preserve">/</w:t>
      </w:r>
      <w:r>
        <w:rPr>
          <w:smallCaps w:val="1"/>
          <w:caps w:val="0"/>
        </w:rPr>
        <w:t xml:space="preserve">Opitz Christian</w:t>
      </w:r>
      <w:r>
        <w:rPr/>
        <w:t xml:space="preserve">/</w:t>
      </w:r>
      <w:r>
        <w:rPr>
          <w:smallCaps w:val="1"/>
          <w:caps w:val="0"/>
        </w:rPr>
        <w:t xml:space="preserve">Petrovich Beatrice</w:t>
      </w:r>
      <w:r>
        <w:rPr/>
        <w:t xml:space="preserve">/</w:t>
      </w:r>
      <w:r>
        <w:rPr>
          <w:smallCaps w:val="1"/>
          <w:caps w:val="0"/>
        </w:rPr>
        <w:t xml:space="preserve">Rinscheid Adrian</w:t>
      </w:r>
      <w:r>
        <w:rPr/>
        <w:t xml:space="preserve">/</w:t>
      </w:r>
      <w:r>
        <w:rPr>
          <w:smallCaps w:val="1"/>
          <w:caps w:val="0"/>
        </w:rPr>
        <w:t xml:space="preserve">Schillig Ivo</w:t>
      </w:r>
      <w:r>
        <w:rPr/>
        <w:t xml:space="preserve">/</w:t>
      </w:r>
      <w:r>
        <w:rPr>
          <w:smallCaps w:val="1"/>
          <w:caps w:val="0"/>
        </w:rPr>
        <w:t xml:space="preserve">Schreiber Markus</w:t>
      </w:r>
      <w:r>
        <w:rPr/>
        <w:t xml:space="preserve">, Schweizer Energiepolitik zwischen Bund, Kantonen und Gemeinden: Zentralisieren, dezentralisieren oder koordinieren?, SCCER CREST White Paper, 7, 2019</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Sebastian Heselhaus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Sebastian Heselhaus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