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Nicole Schraner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Schraner, N. (2026). Der Hitler-Ludendorff-Prozess in der visuellen Berichterstattung: Politische Inszenierung und mediale Grenzen in der frühen Weimarer Republik. </w:t>
      </w:r>
      <w:r>
        <w:rPr>
          <w:i w:val="1"/>
          <w:iCs w:val="1"/>
        </w:rPr>
        <w:t xml:space="preserve">Zeitschrift für Geschichtswissenschaft</w:t>
      </w:r>
      <w:r>
        <w:rPr/>
        <w:t xml:space="preserve">, </w:t>
      </w:r>
      <w:r>
        <w:rPr>
          <w:i w:val="1"/>
          <w:iCs w:val="1"/>
        </w:rPr>
        <w:t xml:space="preserve">74</w:t>
      </w:r>
      <w:r>
        <w:rPr/>
        <w:t xml:space="preserve"> (9), 732–748.</w:t>
      </w:r>
    </w:p>
    <w:p>
      <w:pPr>
        <w:spacing w:after="240" w:line="240" w:lineRule="atLeast"/>
      </w:pPr>
      <w:r>
        <w:rPr/>
        <w:t xml:space="preserve">Schraner, N. (2023). Johann Thali. Der Ausbrecherkönig aus der Baselstrasse. </w:t>
      </w:r>
      <w:r>
        <w:rPr>
          <w:i w:val="1"/>
          <w:iCs w:val="1"/>
        </w:rPr>
        <w:t xml:space="preserve">Jahrbuch der Historischen Gesellschaft Luzern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, 17–33.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Bachmann, E., Bursztyn, K., Gemperle, P., &amp; Schraner, N. (2021). </w:t>
      </w:r>
      <w:r>
        <w:rPr>
          <w:i w:val="1"/>
          <w:iCs w:val="1"/>
        </w:rPr>
        <w:t xml:space="preserve">„Goht’s no?“: Das (Un)Spiel zur schweizerischen Emanzipationsgeschichte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Schraner, N. (8. Juni 2026). </w:t>
      </w:r>
      <w:r>
        <w:rPr>
          <w:i w:val="1"/>
          <w:iCs w:val="1"/>
        </w:rPr>
        <w:t xml:space="preserve">Bilder des Rechts: Fotografische Darstellungen und Vorstellungen von Recht und Gerechtigkeit in der Weimarer Republik (1919 bis 1933)</w:t>
      </w:r>
      <w:r>
        <w:rPr/>
        <w:t xml:space="preserve">. Abgerufen von https://visual-history.de/project/schraner-bilder-des-rechts/</w:t>
      </w:r>
    </w:p>
    <w:p>
      <w:pPr>
        <w:spacing w:after="240" w:line="240" w:lineRule="atLeast"/>
      </w:pPr>
      <w:r>
        <w:rPr/>
        <w:t xml:space="preserve">Schraner, N. (2. Mai 2026). </w:t>
      </w:r>
      <w:r>
        <w:rPr>
          <w:i w:val="1"/>
          <w:iCs w:val="1"/>
        </w:rPr>
        <w:t xml:space="preserve">Grueto Uebo: Globalisation, Commercialisation and Politicisation</w:t>
      </w:r>
      <w:r>
        <w:rPr/>
        <w:t xml:space="preserve">. Abgerufen von https://www.explore-vc.org/en/objects/katsushika-hokusai-nami-ura-the-backside-of-the-wave.html</w:t>
      </w:r>
    </w:p>
    <w:p>
      <w:pPr>
        <w:spacing w:after="240" w:line="240" w:lineRule="atLeast"/>
      </w:pPr>
      <w:r>
        <w:rPr/>
        <w:t xml:space="preserve">Schraner, N. (13. April 2021). </w:t>
      </w:r>
      <w:r>
        <w:rPr>
          <w:i w:val="1"/>
          <w:iCs w:val="1"/>
        </w:rPr>
        <w:t xml:space="preserve">Ziit isch Da - Fraueschtimmrächt Ja! "Abhaken. Abstimmen, Vorbei. Denn die Zeit dafür war reif."</w:t>
      </w:r>
      <w:r>
        <w:rPr/>
        <w:t xml:space="preserve"> Abgerufen von https://frauenstadtrundgang.ch/182/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Nicole Schraner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Nicole Schraner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