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Mira Burri</w:t>
      </w:r>
    </w:p>
    <w:p>
      <w:pPr>
        <w:spacing w:after="240" w:line="240" w:lineRule="atLeast"/>
      </w:pPr>
      <w:r>
        <w:t xml:space="preserve">ORCID: 0000-0001-9224-3568</w:t>
      </w:r>
    </w:p>
    <w:p>
      <w:pPr>
        <w:spacing w:after="240" w:line="240" w:lineRule="atLeast"/>
        <w:rPr>
          <w:b/>
          <w:bCs/>
        </w:rPr>
      </w:pPr>
      <w:r>
        <w:rPr>
          <w:b/>
          <w:bCs/>
        </w:rPr>
        <w:t xml:space="preserve">Buch als Monografie</w:t>
      </w:r>
    </w:p>
    <w:p>
      <w:pPr>
        <w:spacing w:after="240" w:line="240" w:lineRule="atLeast"/>
      </w:pPr>
      <w:r>
        <w:rPr>
          <w:smallCaps w:val="1"/>
          <w:caps w:val="0"/>
        </w:rPr>
        <w:t xml:space="preserve">Abbott Frederick</w:t>
      </w:r>
      <w:r>
        <w:rPr/>
        <w:t xml:space="preserve">/</w:t>
      </w:r>
      <w:r>
        <w:rPr>
          <w:smallCaps w:val="1"/>
          <w:caps w:val="0"/>
        </w:rPr>
        <w:t xml:space="preserve">Cottier Thomas</w:t>
      </w:r>
      <w:r>
        <w:rPr/>
        <w:t xml:space="preserve">/</w:t>
      </w:r>
      <w:r>
        <w:rPr>
          <w:smallCaps w:val="1"/>
          <w:caps w:val="0"/>
        </w:rPr>
        <w:t xml:space="preserve">Burri Mira</w:t>
      </w:r>
      <w:r>
        <w:rPr/>
        <w:t xml:space="preserve">/</w:t>
      </w:r>
      <w:r>
        <w:rPr>
          <w:smallCaps w:val="1"/>
          <w:caps w:val="0"/>
        </w:rPr>
        <w:t xml:space="preserve">et al</w:t>
      </w:r>
      <w:r>
        <w:rPr/>
        <w:t xml:space="preserve">, International Intellectual Property in an Integrated World Economy, 5. Aufl., Aspen 2024, https://aspenpublishing.com/products/abbott-intellectualproperty5?srsltid=AfmBOooj1BQoTMCZAwcMrk0DpuogaLR_4R06J9GE-sEbMf1kjXjnIhqa</w:t>
      </w:r>
    </w:p>
    <w:p>
      <w:pPr>
        <w:spacing w:after="240" w:line="240" w:lineRule="atLeast"/>
      </w:pPr>
      <w:r>
        <w:rPr>
          <w:smallCaps w:val="1"/>
          <w:caps w:val="0"/>
        </w:rPr>
        <w:t xml:space="preserve">Burri Mira</w:t>
      </w:r>
      <w:r>
        <w:rPr/>
        <w:t xml:space="preserve">, Public Service Broadcasting 3.0: Legal Design for the Digital Present, London/New York 2015, https://papers.ssrn.com/sol3/papers.cfm?abstract_id=2616214</w:t>
      </w:r>
    </w:p>
    <w:p>
      <w:pPr>
        <w:spacing w:after="240" w:line="240" w:lineRule="atLeast"/>
      </w:pPr>
      <w:r>
        <w:rPr>
          <w:smallCaps w:val="1"/>
          <w:caps w:val="0"/>
        </w:rPr>
        <w:t xml:space="preserve">Burri Mira</w:t>
      </w:r>
      <w:r>
        <w:rPr/>
        <w:t xml:space="preserve">/</w:t>
      </w:r>
      <w:r>
        <w:rPr>
          <w:smallCaps w:val="1"/>
          <w:caps w:val="0"/>
        </w:rPr>
        <w:t xml:space="preserve">Weber Rolf</w:t>
      </w:r>
      <w:r>
        <w:rPr/>
        <w:t xml:space="preserve">, Classification of Services in the Digital Economy, Berlin 2012, https://papers.ssrn.com/sol3/papers.cfm?abstract_id=2125836</w:t>
      </w:r>
    </w:p>
    <w:p>
      <w:pPr>
        <w:spacing w:after="240" w:line="240" w:lineRule="atLeast"/>
      </w:pPr>
      <w:r>
        <w:rPr>
          <w:smallCaps w:val="1"/>
          <w:caps w:val="0"/>
        </w:rPr>
        <w:t xml:space="preserve">Burri Mira</w:t>
      </w:r>
      <w:r>
        <w:rPr/>
        <w:t xml:space="preserve">, EC Electronic Communications and Competition Law, London 2007, https://papers.ssrn.com/sol3/papers.cfm?abstract_id=3299416</w:t>
      </w:r>
    </w:p>
    <w:p>
      <w:pPr>
        <w:spacing w:after="240" w:line="240" w:lineRule="atLeast"/>
        <w:rPr>
          <w:b/>
          <w:bCs/>
        </w:rPr>
      </w:pPr>
      <w:r>
        <w:rPr>
          <w:b/>
          <w:bCs/>
        </w:rPr>
        <w:t xml:space="preserve">Zeitschriftenartikel</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The EFTA–Singapore Digital Economy Agreement: Positioning Switzerland in the Landscape of Digital Trade Law, in: Jusletter 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Understanding Digital Economy Agreements as a New Model of Trade Governance, in: Legal Issues of Economic Integration 52/3/2025, S. 219–250, https://kluwerlawonline.com/journalarticle/Legal+Issues+of+Economic+Integration/52.3%20[pre-publication]/LEIE2025011</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Digital Economy Agreements: A Path To Digital Trade Law 4.0?, in: Trade, Law and Development 17/2025, S. 185–217, https://doi.org/https://dx.doi.org/10.2139/ssrn.6873823</w:t>
      </w:r>
    </w:p>
    <w:p>
      <w:pPr>
        <w:spacing w:after="240" w:line="240" w:lineRule="atLeast"/>
      </w:pPr>
      <w:r>
        <w:rPr>
          <w:smallCaps w:val="1"/>
          <w:caps w:val="0"/>
        </w:rPr>
        <w:t xml:space="preserve">Burri Mira</w:t>
      </w:r>
      <w:r>
        <w:rPr/>
        <w:t xml:space="preserve">, Human Rights Implications of Digital Trade Law, in: Trade, Law and Development 16/2025, S. 289–324, https://papers.ssrn.com/sol3/papers.cfm?abstract_id=5359080</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Charting the Course: Trips-Plus Agreements and the Intersection of Intellectual Property with Digital Trade, in: American University Law Review 73/2024, S. 167–179, https://aulawreview.org/blog/charting-the-course-trips-plus-agreements-and-the-intersection-of-intellectual-property-with-digital-trade/</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 Digital Trade in the EU-New Zealand Free Trade Agreement: An Appraisal, in: Legal Issues of Economic Integration (LIEI) 51/1/2024, S. 11–46, https://doi.org/10.5281/zenodo.11092416</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 Regulatory Autonomy in Digital Trade Agreements, in: Journal of International Economic Law, jgae 2024, S. 397–423, https://academic.oup.com/jiel/advance-article/doi/10.1093/jiel/jgae025/7718688</w:t>
      </w:r>
    </w:p>
    <w:p>
      <w:pPr>
        <w:spacing w:after="240" w:line="240" w:lineRule="atLeast"/>
      </w:pPr>
      <w:r>
        <w:rPr>
          <w:smallCaps w:val="1"/>
          <w:caps w:val="0"/>
        </w:rPr>
        <w:t xml:space="preserve">Burri Mira</w:t>
      </w:r>
      <w:r>
        <w:rPr/>
        <w:t xml:space="preserve">, The Digital Transformation of Trade Law, in: SciencePo Law Review, special issue "Law and Technology: Toward a Digital Rule of Law" 2024, S. 29–33, https://www.sciencespo.fr/ecole-droit/sites/sciencespo.fr.ecole-droit/files/RJSP_Issue_25_LawandTech.pdf</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Evolution of Digital Trade Law: Insights from TAPED, in: World Trade Review 23/2024, S. 190–207, https://doi.org/10.5281/zenodo.11030774</w:t>
      </w:r>
    </w:p>
    <w:p>
      <w:pPr>
        <w:spacing w:after="240" w:line="240" w:lineRule="atLeast"/>
      </w:pPr>
      <w:r>
        <w:rPr>
          <w:smallCaps w:val="1"/>
          <w:caps w:val="0"/>
        </w:rPr>
        <w:t xml:space="preserve">Burri Mira</w:t>
      </w:r>
      <w:r>
        <w:rPr/>
        <w:t xml:space="preserve">, A WTO Agreement on Electronic Commerce: An Enquiry into its Substance and Viability, Trade Law 4.0 Working Paper No 1/2021, in: Georgetown Journal of International Law 53/4/2023, S. 565–625, https://ssrn.com/abstract=3976133</w:t>
      </w:r>
    </w:p>
    <w:p>
      <w:pPr>
        <w:spacing w:after="240" w:line="240" w:lineRule="atLeast"/>
      </w:pPr>
      <w:r>
        <w:rPr>
          <w:smallCaps w:val="1"/>
          <w:caps w:val="0"/>
        </w:rPr>
        <w:t xml:space="preserve">Burri Mira</w:t>
      </w:r>
      <w:r>
        <w:rPr/>
        <w:t xml:space="preserve">, The Impact of Digitalization on Global Trade Law, in: German Law Journal 24/3/2023, S. 551–573, https://doi.org/10.5281/zenodo.11083205</w:t>
      </w:r>
    </w:p>
    <w:p>
      <w:pPr>
        <w:spacing w:after="240" w:line="240" w:lineRule="atLeast"/>
      </w:pPr>
      <w:r>
        <w:rPr>
          <w:smallCaps w:val="1"/>
          <w:caps w:val="0"/>
        </w:rPr>
        <w:t xml:space="preserve">Burri Mira</w:t>
      </w:r>
      <w:r>
        <w:rPr/>
        <w:t xml:space="preserve">/</w:t>
      </w:r>
      <w:r>
        <w:rPr>
          <w:smallCaps w:val="1"/>
          <w:caps w:val="0"/>
        </w:rPr>
        <w:t xml:space="preserve">Zihlmann Zaïra</w:t>
      </w:r>
      <w:r>
        <w:rPr/>
        <w:t xml:space="preserve">, The EU Cyber Resilience Act: An Appraisal and Contextualization, in: Zeitschrift für Europarecht (EuZ) 25/2/2023, S. 1–45, https://doi.org/10.5281/zenodo.11066043</w:t>
      </w:r>
    </w:p>
    <w:p>
      <w:pPr>
        <w:spacing w:after="240" w:line="240" w:lineRule="atLeast"/>
      </w:pPr>
      <w:r>
        <w:rPr>
          <w:smallCaps w:val="1"/>
          <w:caps w:val="0"/>
        </w:rPr>
        <w:t xml:space="preserve">Burri Mira</w:t>
      </w:r>
      <w:r>
        <w:rPr/>
        <w:t xml:space="preserve">, Cross-Border Data Flows and Privacy in Global Trade Law: Has Trade Trumped Data Protection?, in: Oxford Review of Economic Policy 39/1/2023, S. 85–97, https://doi.org/10.5281/zenodo.11083203</w:t>
      </w:r>
    </w:p>
    <w:p>
      <w:pPr>
        <w:spacing w:after="240" w:line="240" w:lineRule="atLeast"/>
      </w:pPr>
      <w:r>
        <w:rPr>
          <w:smallCaps w:val="1"/>
          <w:caps w:val="0"/>
        </w:rPr>
        <w:t xml:space="preserve">Burri Mira</w:t>
      </w:r>
      <w:r>
        <w:rPr/>
        <w:t xml:space="preserve">, Trade Law 4.0: Are We There Yet?, in: Journal of International Economic Law 26/1/2023, S. 90–100, https://doi.org/10.5281/zenodo.11083068</w:t>
      </w:r>
    </w:p>
    <w:p>
      <w:pPr>
        <w:spacing w:after="240" w:line="240" w:lineRule="atLeast"/>
      </w:pPr>
      <w:r>
        <w:rPr>
          <w:smallCaps w:val="1"/>
          <w:caps w:val="0"/>
        </w:rPr>
        <w:t xml:space="preserve">Burri Mira</w:t>
      </w:r>
      <w:r>
        <w:rPr/>
        <w:t xml:space="preserve">, Digital Trade and Human Rights, in: AJIL Unbound: Symposium on Digital Trade and International Law 117/2023, S. 110–115, https://doi.org/10.5281/zenodo.11082408</w:t>
      </w:r>
    </w:p>
    <w:p>
      <w:pPr>
        <w:spacing w:after="240" w:line="240" w:lineRule="atLeast"/>
      </w:pPr>
      <w:r>
        <w:rPr>
          <w:smallCaps w:val="1"/>
          <w:caps w:val="0"/>
        </w:rPr>
        <w:t xml:space="preserve">Burri Mira</w:t>
      </w:r>
      <w:r>
        <w:rPr/>
        <w:t xml:space="preserve">, Switzerland in the Global Landscape of Digital Trade Regulation, in: Jusletter IT 2023, https://doi.org/10.5281/zenodo.11092875</w:t>
      </w:r>
    </w:p>
    <w:p>
      <w:pPr>
        <w:spacing w:after="240" w:line="240" w:lineRule="atLeast"/>
      </w:pPr>
      <w:r>
        <w:rPr>
          <w:smallCaps w:val="1"/>
          <w:caps w:val="0"/>
        </w:rPr>
        <w:t xml:space="preserve">Burri Mira</w:t>
      </w:r>
      <w:r>
        <w:rPr/>
        <w:t xml:space="preserve">/</w:t>
      </w:r>
      <w:r>
        <w:rPr>
          <w:smallCaps w:val="1"/>
          <w:caps w:val="0"/>
        </w:rPr>
        <w:t xml:space="preserve">Chander Anupam</w:t>
      </w:r>
      <w:r>
        <w:rPr/>
        <w:t xml:space="preserve">, What Are Digital Trade and Digital Trade Law?, in: AJIL Unbound: Symposium on Digital Trade and International Law 117/2023, S. 99–103, https://doi.org/10.5281/zenodo.11072201</w:t>
      </w:r>
    </w:p>
    <w:p>
      <w:pPr>
        <w:spacing w:after="240" w:line="240" w:lineRule="atLeast"/>
      </w:pPr>
      <w:r>
        <w:rPr>
          <w:smallCaps w:val="1"/>
          <w:caps w:val="0"/>
        </w:rPr>
        <w:t xml:space="preserve">Burri Mira</w:t>
      </w:r>
      <w:r>
        <w:rPr/>
        <w:t xml:space="preserve">, Approaches to Digital Trade and Data Flow Regulation across Jurisdictions: Implications for the Future EU-ASEAN Agreement, in: Legal Issues of Economic Integration 49/2/2022, S. 149–168, https://doi.org/10.5281/zenodo.11093485</w:t>
      </w:r>
    </w:p>
    <w:p>
      <w:pPr>
        <w:spacing w:after="240" w:line="240" w:lineRule="atLeast"/>
      </w:pPr>
      <w:r>
        <w:rPr>
          <w:smallCaps w:val="1"/>
          <w:caps w:val="0"/>
        </w:rPr>
        <w:t xml:space="preserve">Ole Marius Hyllanda</w:t>
      </w:r>
      <w:r>
        <w:rPr/>
        <w:t xml:space="preserve">/</w:t>
      </w:r>
      <w:r>
        <w:rPr>
          <w:smallCaps w:val="1"/>
          <w:caps w:val="0"/>
        </w:rPr>
        <w:t xml:space="preserve">Burri Mira</w:t>
      </w:r>
      <w:r>
        <w:rPr/>
        <w:t xml:space="preserve">/</w:t>
      </w:r>
      <w:r>
        <w:rPr>
          <w:smallCaps w:val="1"/>
          <w:caps w:val="0"/>
        </w:rPr>
        <w:t xml:space="preserve">Katarina Lindblad</w:t>
      </w:r>
      <w:r>
        <w:rPr/>
        <w:t xml:space="preserve">/</w:t>
      </w:r>
      <w:r>
        <w:rPr>
          <w:smallCaps w:val="1"/>
          <w:caps w:val="0"/>
        </w:rPr>
        <w:t xml:space="preserve">Christian Handke</w:t>
      </w:r>
      <w:r>
        <w:rPr/>
        <w:t xml:space="preserve">/</w:t>
      </w:r>
      <w:r>
        <w:rPr>
          <w:smallCaps w:val="1"/>
          <w:caps w:val="0"/>
        </w:rPr>
        <w:t xml:space="preserve">Arturo Rodríguez</w:t>
      </w:r>
      <w:r>
        <w:rPr/>
        <w:t xml:space="preserve">/</w:t>
      </w:r>
      <w:r>
        <w:rPr>
          <w:smallCaps w:val="1"/>
          <w:caps w:val="0"/>
        </w:rPr>
        <w:t xml:space="preserve">Kate Oakley</w:t>
      </w:r>
      <w:r>
        <w:rPr/>
        <w:t xml:space="preserve">/</w:t>
      </w:r>
      <w:r>
        <w:rPr>
          <w:smallCaps w:val="1"/>
          <w:caps w:val="0"/>
        </w:rPr>
        <w:t xml:space="preserve">Jaka Primorac</w:t>
      </w:r>
      <w:r>
        <w:rPr/>
        <w:t xml:space="preserve">/</w:t>
      </w:r>
      <w:r>
        <w:rPr>
          <w:smallCaps w:val="1"/>
          <w:caps w:val="0"/>
        </w:rPr>
        <w:t xml:space="preserve">Aleksandra Uzelac</w:t>
      </w:r>
      <w:r>
        <w:rPr/>
        <w:t xml:space="preserve">, Pandemic Cultural Policy. A Comparative Perspective on Covid-19 Measures and Their Effect on Cultural Policies in Europe, in: International Journal of Cultural Policy 2022, https://doi.org/https://doi.org/10.1080/10286632.2022.2154342</w:t>
      </w:r>
    </w:p>
    <w:p>
      <w:pPr>
        <w:spacing w:after="240" w:line="240" w:lineRule="atLeast"/>
      </w:pPr>
      <w:r>
        <w:rPr>
          <w:smallCaps w:val="1"/>
          <w:caps w:val="0"/>
        </w:rPr>
        <w:t xml:space="preserve">Irion Kristina</w:t>
      </w:r>
      <w:r>
        <w:rPr/>
        <w:t xml:space="preserve">/</w:t>
      </w:r>
      <w:r>
        <w:rPr>
          <w:smallCaps w:val="1"/>
          <w:caps w:val="0"/>
        </w:rPr>
        <w:t xml:space="preserve">Burri Mira</w:t>
      </w:r>
      <w:r>
        <w:rPr/>
        <w:t xml:space="preserve">/</w:t>
      </w:r>
      <w:r>
        <w:rPr>
          <w:smallCaps w:val="1"/>
          <w:caps w:val="0"/>
        </w:rPr>
        <w:t xml:space="preserve">Kolk Ans</w:t>
      </w:r>
      <w:r>
        <w:rPr/>
        <w:t xml:space="preserve">/</w:t>
      </w:r>
      <w:r>
        <w:rPr>
          <w:smallCaps w:val="1"/>
          <w:caps w:val="0"/>
        </w:rPr>
        <w:t xml:space="preserve">Milan Stefania</w:t>
      </w:r>
      <w:r>
        <w:rPr/>
        <w:t xml:space="preserve">, Governing "European values" Inside Data Flows: Interdisciplinary Perspectives, in: Internet Policy Review - special issue 10/3/2021, S. 1–14, https://doi.org/10.5281/zenodo.11065916</w:t>
      </w:r>
    </w:p>
    <w:p>
      <w:pPr>
        <w:spacing w:after="240" w:line="240" w:lineRule="atLeast"/>
      </w:pPr>
      <w:r>
        <w:rPr>
          <w:smallCaps w:val="1"/>
          <w:caps w:val="0"/>
        </w:rPr>
        <w:t xml:space="preserve">Irion Kristina</w:t>
      </w:r>
      <w:r>
        <w:rPr/>
        <w:t xml:space="preserve">/</w:t>
      </w:r>
      <w:r>
        <w:rPr>
          <w:smallCaps w:val="1"/>
          <w:caps w:val="0"/>
        </w:rPr>
        <w:t xml:space="preserve">Burri Mira</w:t>
      </w:r>
      <w:r>
        <w:rPr/>
        <w:t xml:space="preserve">/</w:t>
      </w:r>
      <w:r>
        <w:rPr>
          <w:smallCaps w:val="1"/>
          <w:caps w:val="0"/>
        </w:rPr>
        <w:t xml:space="preserve">Kolk Ans</w:t>
      </w:r>
      <w:r>
        <w:rPr/>
        <w:t xml:space="preserve">/</w:t>
      </w:r>
      <w:r>
        <w:rPr>
          <w:smallCaps w:val="1"/>
          <w:caps w:val="0"/>
        </w:rPr>
        <w:t xml:space="preserve">Milan Stefania</w:t>
      </w:r>
      <w:r>
        <w:rPr/>
        <w:t xml:space="preserve">, Governing “European values” inside Data Flows: Interdisciplinary Perspectives, in: Internet Policy Review - special issue 10/3/2021, https://doi.org/10.14763/2021.3.1582</w:t>
      </w:r>
    </w:p>
    <w:p>
      <w:pPr>
        <w:spacing w:after="240" w:line="240" w:lineRule="atLeast"/>
      </w:pPr>
      <w:r>
        <w:rPr>
          <w:smallCaps w:val="1"/>
          <w:caps w:val="0"/>
        </w:rPr>
        <w:t xml:space="preserve">Burri Mira</w:t>
      </w:r>
      <w:r>
        <w:rPr/>
        <w:t xml:space="preserve">, Digital Transformation: Heralding in a New Era for International Trade Law, in: Trade, Law and Development 13/1/2021, S. 38–62, http://www.tradelawdevelopment.com/index.php/tld/article/view/7/206; https://ssrn.com/abstract=3962164</w:t>
      </w:r>
    </w:p>
    <w:p>
      <w:pPr>
        <w:spacing w:after="240" w:line="240" w:lineRule="atLeast"/>
      </w:pPr>
      <w:r>
        <w:rPr>
          <w:smallCaps w:val="1"/>
          <w:caps w:val="0"/>
        </w:rPr>
        <w:t xml:space="preserve">Burri Mira</w:t>
      </w:r>
      <w:r>
        <w:rPr/>
        <w:t xml:space="preserve">, Towards a New Treaty on Digital Trade, in: Journal of World Trade 55/1/2021, S. 77–100, https://doi.org/10.5281/zenodo.11109361</w:t>
      </w:r>
    </w:p>
    <w:p>
      <w:pPr>
        <w:spacing w:after="240" w:line="240" w:lineRule="atLeast"/>
      </w:pPr>
      <w:r>
        <w:rPr>
          <w:smallCaps w:val="1"/>
          <w:caps w:val="0"/>
        </w:rPr>
        <w:t xml:space="preserve">Burri Mira</w:t>
      </w:r>
      <w:r>
        <w:rPr/>
        <w:t xml:space="preserve">, Approaches to Digital Trade and Data Flow Regulation across Jurisdictions, in: Journal of World Investment and Trade 22/2021, https://papers.ssrn.com/sol3/papers.cfm?abstract_id=3804975</w:t>
      </w:r>
    </w:p>
    <w:p>
      <w:pPr>
        <w:spacing w:after="240" w:line="240" w:lineRule="atLeast"/>
      </w:pPr>
      <w:r>
        <w:rPr>
          <w:smallCaps w:val="1"/>
          <w:caps w:val="0"/>
        </w:rPr>
        <w:t xml:space="preserve">Burri Mira</w:t>
      </w:r>
      <w:r>
        <w:rPr/>
        <w:t xml:space="preserve">, Interfacing Privacy and Trade, in: Case Western Reserve Journal of International Law 53/2021, S. 35–88, https://papers.ssrn.com/sol3/papers.cfm?abstract_id=3840994#</w:t>
      </w:r>
    </w:p>
    <w:p>
      <w:pPr>
        <w:spacing w:after="240" w:line="240" w:lineRule="atLeast"/>
      </w:pPr>
      <w:r>
        <w:rPr>
          <w:smallCaps w:val="1"/>
          <w:caps w:val="0"/>
        </w:rPr>
        <w:t xml:space="preserve">Burri Mira</w:t>
      </w:r>
      <w:r>
        <w:rPr/>
        <w:t xml:space="preserve">/</w:t>
      </w:r>
      <w:r>
        <w:rPr>
          <w:smallCaps w:val="1"/>
          <w:caps w:val="0"/>
        </w:rPr>
        <w:t xml:space="preserve">Zihlmann Zaïra</w:t>
      </w:r>
      <w:r>
        <w:rPr/>
        <w:t xml:space="preserve">, Intermediaries’ Liability in Light of the Recent EU Copyright Reform, in: Indian Journal of Intellectual Property Law 11/2021, S. 35–75, https://papers.ssrn.com/sol3/papers.cfm?abstract_id=3748328</w:t>
      </w:r>
    </w:p>
    <w:p>
      <w:pPr>
        <w:spacing w:after="240" w:line="240" w:lineRule="atLeast"/>
      </w:pPr>
      <w:r>
        <w:rPr>
          <w:smallCaps w:val="1"/>
          <w:caps w:val="0"/>
        </w:rPr>
        <w:t xml:space="preserve">Burri Mira</w:t>
      </w:r>
      <w:r>
        <w:rPr/>
        <w:t xml:space="preserve">/</w:t>
      </w:r>
      <w:r>
        <w:rPr>
          <w:smallCaps w:val="1"/>
          <w:caps w:val="0"/>
        </w:rPr>
        <w:t xml:space="preserve">Polanco Lazo Rodrigo Javier</w:t>
      </w:r>
      <w:r>
        <w:rPr/>
        <w:t xml:space="preserve">, Digital Trade Provisions in Preferential Trade Agreements: Introducing a New Dataset, in: Journal of International Economic Law 23:1/2020, S. 1–34, https://papers.ssrn.com/sol3/papers.cfm?abstract_id=3482470</w:t>
      </w:r>
    </w:p>
    <w:p>
      <w:pPr>
        <w:spacing w:after="240" w:line="240" w:lineRule="atLeast"/>
      </w:pPr>
      <w:r>
        <w:rPr>
          <w:smallCaps w:val="1"/>
          <w:caps w:val="0"/>
        </w:rPr>
        <w:t xml:space="preserve">Burri Mira</w:t>
      </w:r>
      <w:r>
        <w:rPr/>
        <w:t xml:space="preserve">, Trade in Services Regulation in the Data-driven Economy, in: Trade, Law and Development 12/1/2020, S. 208–240, https://papers.ssrn.com/sol3/papers.cfm?abstract_id=3545103</w:t>
      </w:r>
    </w:p>
    <w:p>
      <w:pPr>
        <w:spacing w:after="240" w:line="240" w:lineRule="atLeast"/>
      </w:pPr>
      <w:r>
        <w:rPr>
          <w:smallCaps w:val="1"/>
          <w:caps w:val="0"/>
        </w:rPr>
        <w:t xml:space="preserve">Burri Mira</w:t>
      </w:r>
      <w:r>
        <w:rPr/>
        <w:t xml:space="preserve">/</w:t>
      </w:r>
      <w:r>
        <w:rPr>
          <w:smallCaps w:val="1"/>
          <w:caps w:val="0"/>
        </w:rPr>
        <w:t xml:space="preserve">Serrano Omar</w:t>
      </w:r>
      <w:r>
        <w:rPr/>
        <w:t xml:space="preserve">, India, Brazil, and Public Health: Rule-Making through South-South Diffusion in the Intellectual Property Rights Regime?, in: Regulation and Governance 2020, https://doi.org/doi:10.1111/rego.12355</w:t>
      </w:r>
    </w:p>
    <w:p>
      <w:pPr>
        <w:spacing w:after="240" w:line="240" w:lineRule="atLeast"/>
      </w:pPr>
      <w:r>
        <w:rPr>
          <w:smallCaps w:val="1"/>
          <w:caps w:val="0"/>
        </w:rPr>
        <w:t xml:space="preserve">Burri Mira</w:t>
      </w:r>
      <w:r>
        <w:rPr/>
        <w:t xml:space="preserve">, New Legal Design for Digital Commerce in Free Trade Agreements, in: DigiWorld Economic Journal 107/3/2017, S. 1–21, https://papers.ssrn.com/sol3/papers.cfm?abstract_id=3028008</w:t>
      </w:r>
    </w:p>
    <w:p>
      <w:pPr>
        <w:spacing w:after="240" w:line="240" w:lineRule="atLeast"/>
      </w:pPr>
      <w:r>
        <w:rPr>
          <w:smallCaps w:val="1"/>
          <w:caps w:val="0"/>
        </w:rPr>
        <w:t xml:space="preserve">Burri Mira</w:t>
      </w:r>
      <w:r>
        <w:rPr/>
        <w:t xml:space="preserve">, The Regulation of Data Flows in Trade Agreements, in: Georgetown Journal of International Law 48/1/2017, S. 408–448, https://papers.ssrn.com/sol3/papers.cfm?abstract_id=3028137</w:t>
      </w:r>
    </w:p>
    <w:p>
      <w:pPr>
        <w:spacing w:after="240" w:line="240" w:lineRule="atLeast"/>
      </w:pPr>
      <w:r>
        <w:rPr>
          <w:smallCaps w:val="1"/>
          <w:caps w:val="0"/>
        </w:rPr>
        <w:t xml:space="preserve">Morin Jean-Frederic</w:t>
      </w:r>
      <w:r>
        <w:rPr/>
        <w:t xml:space="preserve">/</w:t>
      </w:r>
      <w:r>
        <w:rPr>
          <w:smallCaps w:val="1"/>
          <w:caps w:val="0"/>
        </w:rPr>
        <w:t xml:space="preserve">Serrano Omar</w:t>
      </w:r>
      <w:r>
        <w:rPr/>
        <w:t xml:space="preserve">/</w:t>
      </w:r>
      <w:r>
        <w:rPr>
          <w:smallCaps w:val="1"/>
          <w:caps w:val="0"/>
        </w:rPr>
        <w:t xml:space="preserve">Burri Mira</w:t>
      </w:r>
      <w:r>
        <w:rPr/>
        <w:t xml:space="preserve">/</w:t>
      </w:r>
      <w:r>
        <w:rPr>
          <w:smallCaps w:val="1"/>
          <w:caps w:val="0"/>
        </w:rPr>
        <w:t xml:space="preserve">Bannerman Sara</w:t>
      </w:r>
      <w:r>
        <w:rPr/>
        <w:t xml:space="preserve">, Rising Economies in the International Patent Regime: From Rule-Breakers to Rule-Changers and Rule-Makers, in: New Political Economy 2017, https://doi.org/https://doi.org/10.1080/13563467.2017.1349086</w:t>
      </w:r>
    </w:p>
    <w:p>
      <w:pPr>
        <w:spacing w:after="240" w:line="240" w:lineRule="atLeast"/>
      </w:pPr>
      <w:r>
        <w:rPr>
          <w:smallCaps w:val="1"/>
          <w:caps w:val="0"/>
        </w:rPr>
        <w:t xml:space="preserve">Burri Mira</w:t>
      </w:r>
      <w:r>
        <w:rPr/>
        <w:t xml:space="preserve">, The Governance of Data and Data Flows in Trade Agreements: The Pitfalls of Legal Adaptation, in: UC Davies Law Review 51/2017, S. 65–133, https://papers.ssrn.com/sol3/papers.cfm?abstract_id=3067973</w:t>
      </w:r>
    </w:p>
    <w:p>
      <w:pPr>
        <w:spacing w:after="240" w:line="240" w:lineRule="atLeast"/>
      </w:pPr>
      <w:r>
        <w:rPr>
          <w:smallCaps w:val="1"/>
          <w:caps w:val="0"/>
        </w:rPr>
        <w:t xml:space="preserve">Burri Mira</w:t>
      </w:r>
      <w:r>
        <w:rPr/>
        <w:t xml:space="preserve">/</w:t>
      </w:r>
      <w:r>
        <w:rPr>
          <w:smallCaps w:val="1"/>
          <w:caps w:val="0"/>
        </w:rPr>
        <w:t xml:space="preserve">Schär Rahel</w:t>
      </w:r>
      <w:r>
        <w:rPr/>
        <w:t xml:space="preserve">/</w:t>
      </w:r>
      <w:r>
        <w:rPr>
          <w:smallCaps w:val="1"/>
          <w:caps w:val="0"/>
        </w:rPr>
        <w:t xml:space="preserve">Schär Rahel</w:t>
      </w:r>
      <w:r>
        <w:rPr/>
        <w:t xml:space="preserve">, The Reform of the EU Data Protection Framework: Outlining Key Changes and Assessing Their Fitness for a Data-Driven Economy, in: Journal of Information Policy 6/2016, S. 479–511, https://papers.ssrn.com/sol3/papers.cfm?abstract_id=2792222</w:t>
      </w:r>
    </w:p>
    <w:p>
      <w:pPr>
        <w:spacing w:after="240" w:line="240" w:lineRule="atLeast"/>
      </w:pPr>
      <w:r>
        <w:rPr>
          <w:smallCaps w:val="1"/>
          <w:caps w:val="0"/>
        </w:rPr>
        <w:t xml:space="preserve">Burri Mira</w:t>
      </w:r>
      <w:r>
        <w:rPr/>
        <w:t xml:space="preserve">/</w:t>
      </w:r>
      <w:r>
        <w:rPr>
          <w:smallCaps w:val="1"/>
          <w:caps w:val="0"/>
        </w:rPr>
        <w:t xml:space="preserve">Schär Rahel</w:t>
      </w:r>
      <w:r>
        <w:rPr/>
        <w:t xml:space="preserve">/</w:t>
      </w:r>
      <w:r>
        <w:rPr>
          <w:smallCaps w:val="1"/>
          <w:caps w:val="0"/>
        </w:rPr>
        <w:t xml:space="preserve">Schär Rahel</w:t>
      </w:r>
      <w:r>
        <w:rPr/>
        <w:t xml:space="preserve">, Die Reform der Datenschutzgesetzgebung der Europäischen Union: die wichtigsten Veränderungen und ihre Eignung für eine datengesteuerte Wirtschaft, in: Zeitschrift für Europarecht (EuZ) 18/4/2016, S. 82–95</w:t>
      </w:r>
    </w:p>
    <w:p>
      <w:pPr>
        <w:spacing w:after="240" w:line="240" w:lineRule="atLeast"/>
      </w:pPr>
      <w:r>
        <w:rPr>
          <w:smallCaps w:val="1"/>
          <w:caps w:val="0"/>
        </w:rPr>
        <w:t xml:space="preserve">Burri Mira</w:t>
      </w:r>
      <w:r>
        <w:rPr/>
        <w:t xml:space="preserve">, Cultural Diversity in the Internet Age: In Search of New Tools That Work, in: Digiworld Economic Journal 101/2016, S. 1–21, https://papers.ssrn.com/sol3/papers.cfm?abstract_id=2748051</w:t>
      </w:r>
    </w:p>
    <w:p>
      <w:pPr>
        <w:spacing w:after="240" w:line="240" w:lineRule="atLeast"/>
      </w:pPr>
      <w:r>
        <w:rPr>
          <w:smallCaps w:val="1"/>
          <w:caps w:val="0"/>
        </w:rPr>
        <w:t xml:space="preserve">Burri Mira</w:t>
      </w:r>
      <w:r>
        <w:rPr/>
        <w:t xml:space="preserve">, Global Cultural Law and Policy and the Internet: A Tale of Parallel Worlds, in: Arts and International Affairs 1/2016, S. 148–181, https://papers.ssrn.com/sol3/papers.cfm?abstract_id=2748050</w:t>
      </w:r>
    </w:p>
    <w:p>
      <w:pPr>
        <w:spacing w:after="240" w:line="240" w:lineRule="atLeast"/>
      </w:pPr>
      <w:r>
        <w:rPr>
          <w:smallCaps w:val="1"/>
          <w:caps w:val="0"/>
        </w:rPr>
        <w:t xml:space="preserve">Burri Mira</w:t>
      </w:r>
      <w:r>
        <w:rPr/>
        <w:t xml:space="preserve">/</w:t>
      </w:r>
      <w:r>
        <w:rPr>
          <w:smallCaps w:val="1"/>
          <w:caps w:val="0"/>
        </w:rPr>
        <w:t xml:space="preserve">Schär Rahel</w:t>
      </w:r>
      <w:r>
        <w:rPr/>
        <w:t xml:space="preserve">, The Reform of the EU Data Protection Framework: Outlining Key Changes and Assessing Their Fitness for a Data-Driven Economy, in: Journal of Information Policy 6/2016, S. 479–511, https://papers.ssrn.com/sol3/papers.cfm?abstract_id=2792222</w:t>
      </w:r>
    </w:p>
    <w:p>
      <w:pPr>
        <w:spacing w:after="240" w:line="240" w:lineRule="atLeast"/>
      </w:pPr>
      <w:r>
        <w:rPr>
          <w:smallCaps w:val="1"/>
          <w:caps w:val="0"/>
        </w:rPr>
        <w:t xml:space="preserve">Burri Mira</w:t>
      </w:r>
      <w:r>
        <w:rPr/>
        <w:t xml:space="preserve">, The International Economic Law Framework for Digital Trade, in: Zeitschrift für Schweizerisches Recht 135/II/2015, S. 10–72, https://papers.ssrn.com/sol3/papers.cfm?abstract_id=2602817</w:t>
      </w:r>
    </w:p>
    <w:p>
      <w:pPr>
        <w:spacing w:after="240" w:line="240" w:lineRule="atLeast"/>
      </w:pPr>
      <w:r>
        <w:rPr>
          <w:smallCaps w:val="1"/>
          <w:caps w:val="0"/>
        </w:rPr>
        <w:t xml:space="preserve">Burri Mira</w:t>
      </w:r>
      <w:r>
        <w:rPr/>
        <w:t xml:space="preserve">, Contemplating a "Public Service Navigator": In Search of New (and Better) Functioning Public Service Media, in: International Journal of Communication 9/2015, S. 1341–1359, https://papers.ssrn.com/sol3/papers.cfm?abstract_id=2364951</w:t>
      </w:r>
    </w:p>
    <w:p>
      <w:pPr>
        <w:spacing w:after="240" w:line="240" w:lineRule="atLeast"/>
      </w:pPr>
      <w:r>
        <w:rPr>
          <w:smallCaps w:val="1"/>
          <w:caps w:val="0"/>
        </w:rPr>
        <w:t xml:space="preserve">Burri Mira</w:t>
      </w:r>
      <w:r>
        <w:rPr/>
        <w:t xml:space="preserve">, Designing a Coherent Framework for the Regulation of Internet Content, in: The Hague Institute for Justice Paper 2015, https://papers.ssrn.com/sol3/papers.cfm?abstract_id=2704765</w:t>
      </w:r>
    </w:p>
    <w:p>
      <w:pPr>
        <w:spacing w:after="240" w:line="240" w:lineRule="atLeast"/>
      </w:pPr>
      <w:r>
        <w:rPr>
          <w:smallCaps w:val="1"/>
          <w:caps w:val="0"/>
        </w:rPr>
        <w:t xml:space="preserve">Burri Mira</w:t>
      </w:r>
      <w:r>
        <w:rPr/>
        <w:t xml:space="preserve">/</w:t>
      </w:r>
      <w:r>
        <w:rPr>
          <w:smallCaps w:val="1"/>
          <w:caps w:val="0"/>
        </w:rPr>
        <w:t xml:space="preserve">Helberger Natali</w:t>
      </w:r>
      <w:r>
        <w:rPr/>
        <w:t xml:space="preserve">, Public Service Media and Exposure Diversity: An Introduction, in: International Journal of Communication 9/2015, S. 1319–1323, https://papers.ssrn.com/sol3/papers.cfm?abstract_id=2602820</w:t>
      </w:r>
    </w:p>
    <w:p>
      <w:pPr>
        <w:spacing w:after="240" w:line="240" w:lineRule="atLeast"/>
      </w:pPr>
      <w:r>
        <w:rPr>
          <w:smallCaps w:val="1"/>
          <w:caps w:val="0"/>
        </w:rPr>
        <w:t xml:space="preserve">Burri Mira</w:t>
      </w:r>
      <w:r>
        <w:rPr/>
        <w:t xml:space="preserve">, Global Cultura Law and Policy in the Age of the Ubiquitous Internet, in: International Journal of Cultural Property 21/2014, S. 349–364, https://papers.ssrn.com/sol3/papers.cfm?abstract_id=2407030</w:t>
      </w:r>
    </w:p>
    <w:p>
      <w:pPr>
        <w:spacing w:after="240" w:line="240" w:lineRule="atLeast"/>
      </w:pPr>
      <w:r>
        <w:rPr>
          <w:smallCaps w:val="1"/>
          <w:caps w:val="0"/>
        </w:rPr>
        <w:t xml:space="preserve">Burri Mira</w:t>
      </w:r>
      <w:r>
        <w:rPr/>
        <w:t xml:space="preserve">, The UNESCO Convention on Cultural Diversity: An Appraisal Five Years after its Entry into Force, in: International Journal of Cultural Property 20/2014, S. 357–380, https://papers.ssrn.com/sol3/papers.cfm?abstract_id=2223922</w:t>
      </w:r>
    </w:p>
    <w:p>
      <w:pPr>
        <w:spacing w:after="240" w:line="240" w:lineRule="atLeast"/>
      </w:pPr>
      <w:r>
        <w:rPr>
          <w:smallCaps w:val="1"/>
          <w:caps w:val="0"/>
        </w:rPr>
        <w:t xml:space="preserve">Burri Mira</w:t>
      </w:r>
      <w:r>
        <w:rPr/>
        <w:t xml:space="preserve">/</w:t>
      </w:r>
      <w:r>
        <w:rPr>
          <w:smallCaps w:val="1"/>
          <w:caps w:val="0"/>
        </w:rPr>
        <w:t xml:space="preserve">de Beer Jeremy</w:t>
      </w:r>
      <w:r>
        <w:rPr/>
        <w:t xml:space="preserve">, Transatlantic Copyright Comparisons: Making Available via Hyperlinks in the European Union and Canada, in: European Intellectual Property Review 2/2014, S. 95–105, https://papers.ssrn.com/sol3/papers.cfm?abstract_id=2327005</w:t>
      </w:r>
    </w:p>
    <w:p>
      <w:pPr>
        <w:spacing w:after="240" w:line="240" w:lineRule="atLeast"/>
      </w:pPr>
      <w:r>
        <w:rPr>
          <w:smallCaps w:val="1"/>
          <w:caps w:val="0"/>
        </w:rPr>
        <w:t xml:space="preserve">Burri Mira</w:t>
      </w:r>
      <w:r>
        <w:rPr/>
        <w:t xml:space="preserve">, Permission to Link: Making Available via Hyperlinking in the European Union after Svensson, in: Journal of Intellectual Property, Information Technology and E-Commerce Law 5/2014, S. 245–255, https://papers.ssrn.com/sol3/papers.cfm?abstract_id=2511195</w:t>
      </w:r>
    </w:p>
    <w:p>
      <w:pPr>
        <w:spacing w:after="240" w:line="240" w:lineRule="atLeast"/>
      </w:pPr>
      <w:r>
        <w:rPr>
          <w:smallCaps w:val="1"/>
          <w:caps w:val="0"/>
        </w:rPr>
        <w:t xml:space="preserve">Burri Mira</w:t>
      </w:r>
      <w:r>
        <w:rPr/>
        <w:t xml:space="preserve">, Business as Usual? The Implementation of the UNESCO Convention on Cultural and EU Media Law and Policy, in: European Law Review 3/2013, S. 802–825, https://papers.ssrn.com/sol3/papers.cfm?abstract_id=2271034</w:t>
      </w:r>
    </w:p>
    <w:p>
      <w:pPr>
        <w:spacing w:after="240" w:line="240" w:lineRule="atLeast"/>
      </w:pPr>
      <w:r>
        <w:rPr>
          <w:smallCaps w:val="1"/>
          <w:caps w:val="0"/>
        </w:rPr>
        <w:t xml:space="preserve">Burri Mira</w:t>
      </w:r>
      <w:r>
        <w:rPr/>
        <w:t xml:space="preserve">, Reconciling Trade and Culture: A Global Law Perspective, in: Journal of Arts Management, Law and Society 41/2011, S. 138–158, https://papers.ssrn.com/sol3/papers.cfm?abstract_id=1427217</w:t>
      </w:r>
    </w:p>
    <w:p>
      <w:pPr>
        <w:spacing w:after="240" w:line="240" w:lineRule="atLeast"/>
      </w:pPr>
      <w:r>
        <w:rPr>
          <w:smallCaps w:val="1"/>
          <w:caps w:val="0"/>
        </w:rPr>
        <w:t xml:space="preserve">Burri Mira</w:t>
      </w:r>
      <w:r>
        <w:rPr/>
        <w:t xml:space="preserve">, Re-Conceptualising the Global Digital Divide, in: Journal of Intellectual Property, Information Technology and E-Commerce Law 2/3/2011, S. 217–225, https://papers.ssrn.com/sol3/papers.cfm?abstract_id=1968956</w:t>
      </w:r>
    </w:p>
    <w:p>
      <w:pPr>
        <w:spacing w:after="240" w:line="240" w:lineRule="atLeast"/>
      </w:pPr>
      <w:r>
        <w:rPr>
          <w:smallCaps w:val="1"/>
          <w:caps w:val="0"/>
        </w:rPr>
        <w:t xml:space="preserve">Burri Mira</w:t>
      </w:r>
      <w:r>
        <w:rPr/>
        <w:t xml:space="preserve">, Misunderstanding Creativity: User Created Content in Virtual Worlds and its Constraints by Code and Law, in: International Journal of Communications Law and Policy 14/2011, https://papers.ssrn.com/sol3/papers.cfm?abstract_id=1407502</w:t>
      </w:r>
    </w:p>
    <w:p>
      <w:pPr>
        <w:spacing w:after="240" w:line="240" w:lineRule="atLeast"/>
      </w:pPr>
      <w:r>
        <w:rPr>
          <w:smallCaps w:val="1"/>
          <w:caps w:val="0"/>
        </w:rPr>
        <w:t xml:space="preserve">Burri Mira</w:t>
      </w:r>
      <w:r>
        <w:rPr/>
        <w:t xml:space="preserve">, Cultural Diversity as a Concept of Global Law: Origins, Evolution and Prospects, in: Diversity 2/2010, S. 1059–1084, https://papers.ssrn.com/sol3/papers.cfm?abstract_id=1585139</w:t>
      </w:r>
    </w:p>
    <w:p>
      <w:pPr>
        <w:spacing w:after="240" w:line="240" w:lineRule="atLeast"/>
      </w:pPr>
      <w:r>
        <w:rPr>
          <w:smallCaps w:val="1"/>
          <w:caps w:val="0"/>
        </w:rPr>
        <w:t xml:space="preserve">Burri Mira</w:t>
      </w:r>
      <w:r>
        <w:rPr/>
        <w:t xml:space="preserve">, Digital Technologies and Traditional Cultural Expressions: A Positive Look at a Difficult Relationship, in: International Journal of Cultural Property 15/2010, S. 33–63, https://papers.ssrn.com/sol3/papers.cfm?abstract_id=1487488</w:t>
      </w:r>
    </w:p>
    <w:p>
      <w:pPr>
        <w:spacing w:after="240" w:line="240" w:lineRule="atLeast"/>
      </w:pPr>
      <w:r>
        <w:rPr>
          <w:smallCaps w:val="1"/>
          <w:caps w:val="0"/>
        </w:rPr>
        <w:t xml:space="preserve">Burri Mira</w:t>
      </w:r>
      <w:r>
        <w:rPr/>
        <w:t xml:space="preserve">, Trade and Culture in International Law: Paths to (Re)conciliation, in: Journal of World Trade 44/2010, S. 49–80, https://papers.ssrn.com/sol3/papers.cfm?abstract_id=1349089&amp;rec=1&amp;srcabs=1306911&amp;alg=1&amp;pos=2</w:t>
      </w:r>
    </w:p>
    <w:p>
      <w:pPr>
        <w:spacing w:after="240" w:line="240" w:lineRule="atLeast"/>
      </w:pPr>
      <w:r>
        <w:rPr>
          <w:smallCaps w:val="1"/>
          <w:caps w:val="0"/>
        </w:rPr>
        <w:t xml:space="preserve">Burri Mira</w:t>
      </w:r>
      <w:r>
        <w:rPr/>
        <w:t xml:space="preserve">, Trade versus Culture in the Digital Environment: An Old Conflict in Need of a New Definition, in: Journal of International Economic Law 12/1/2009, S. 17–62, https://papers.ssrn.com/sol3/papers.cfm?abstract_id=1265453</w:t>
      </w:r>
    </w:p>
    <w:p>
      <w:pPr>
        <w:spacing w:after="240" w:line="240" w:lineRule="atLeast"/>
      </w:pPr>
      <w:r>
        <w:rPr>
          <w:smallCaps w:val="1"/>
          <w:caps w:val="0"/>
        </w:rPr>
        <w:t xml:space="preserve">Burri Mira</w:t>
      </w:r>
      <w:r>
        <w:rPr/>
        <w:t xml:space="preserve">, The New Audiovisual Media Services Directive: Television Without Frontiers, Television Without Cultural Diversity, in: Common Market Law Review 44/6/2008, S. 1689–1725, http://papers.ssrn.com/sol3/papers.cfm?abstract_id=1299437</w:t>
      </w:r>
    </w:p>
    <w:p>
      <w:pPr>
        <w:spacing w:after="240" w:line="240" w:lineRule="atLeast"/>
      </w:pPr>
      <w:r>
        <w:rPr>
          <w:smallCaps w:val="1"/>
          <w:caps w:val="0"/>
        </w:rPr>
        <w:t xml:space="preserve">Burri Mira</w:t>
      </w:r>
      <w:r>
        <w:rPr/>
        <w:t xml:space="preserve">, Trade and Culture: Making the WTO Legal Framework Conducive to Cultural Considerations, in: Manchester Journal of International Economic Law 5/3/2008, S. 3–39, https://papers.ssrn.com/sol3/papers.cfm?abstract_id=1306911</w:t>
      </w:r>
    </w:p>
    <w:p>
      <w:pPr>
        <w:spacing w:after="240" w:line="240" w:lineRule="atLeast"/>
      </w:pPr>
      <w:r>
        <w:rPr>
          <w:smallCaps w:val="1"/>
          <w:caps w:val="0"/>
        </w:rPr>
        <w:t xml:space="preserve">Burri Mira</w:t>
      </w:r>
      <w:r>
        <w:rPr/>
        <w:t xml:space="preserve">, Defining Regulatory Objectives for Contemporary Electronic Communications: Between a Rock and a Hard Place, in: International Journal of Communications Law and Policy 12/2008, S. 274–312, https://papers.ssrn.com/sol3/papers.cfm?abstract_id=1305203</w:t>
      </w:r>
    </w:p>
    <w:p>
      <w:pPr>
        <w:spacing w:after="240" w:line="240" w:lineRule="atLeast"/>
      </w:pPr>
      <w:r>
        <w:rPr>
          <w:smallCaps w:val="1"/>
          <w:caps w:val="0"/>
        </w:rPr>
        <w:t xml:space="preserve">Burri Mira</w:t>
      </w:r>
      <w:r>
        <w:rPr/>
        <w:t xml:space="preserve">, The Changing Environment of Audiovisual Media: New Technologies, New Patterns of Consumer / Business Behaviour and Their Implications for Audiovisual Media Regulation, in: Medialex: The Swiss Journal of Communications Law 4/2007, S. 171–179, http://www.medialex.recht.ch/index.cfm</w:t>
      </w:r>
    </w:p>
    <w:p>
      <w:pPr>
        <w:spacing w:after="240" w:line="240" w:lineRule="atLeast"/>
      </w:pPr>
      <w:r>
        <w:rPr>
          <w:smallCaps w:val="1"/>
          <w:caps w:val="0"/>
        </w:rPr>
        <w:t xml:space="preserve">Burri Mira</w:t>
      </w:r>
      <w:r>
        <w:rPr/>
        <w:t xml:space="preserve">, The Law of the World Trade Organization and the Communications Law of the European Community: On a Path of Harmony or Discord? NCCR Trade Regulation Working Paper No. 2006/08, in: Journal of World Trade 41/4/2007, S. 833–878, https://papers.ssrn.com/sol3/papers.cfm?abstract_id=1120274</w:t>
      </w:r>
    </w:p>
    <w:p>
      <w:pPr>
        <w:spacing w:after="240" w:line="240" w:lineRule="atLeast"/>
      </w:pPr>
      <w:r>
        <w:rPr>
          <w:smallCaps w:val="1"/>
          <w:caps w:val="0"/>
        </w:rPr>
        <w:t xml:space="preserve">Burri Mira</w:t>
      </w:r>
      <w:r>
        <w:rPr/>
        <w:t xml:space="preserve">, The New Concept of Universal Service in a Digital Networked Communications Environment, NCCR Working Paper 2006/10, in: I/S: A Journal of Law and Policy for the Information Society 3/2007, S. 117–146, https://papers.ssrn.com/sol3/papers.cfm?abstract_id=1120282</w:t>
      </w:r>
    </w:p>
    <w:p>
      <w:pPr>
        <w:spacing w:after="240" w:line="240" w:lineRule="atLeast"/>
      </w:pPr>
      <w:r>
        <w:rPr>
          <w:smallCaps w:val="1"/>
          <w:caps w:val="0"/>
        </w:rPr>
        <w:t xml:space="preserve">Burri Mira</w:t>
      </w:r>
      <w:r>
        <w:rPr/>
        <w:t xml:space="preserve">, The Reform of the EC Audiovisual Media Regulation: Television without Cultural Diversity, NCCR Working Paper, in: International Journal of Cultural Property 14/2/2007, S. 169–204, https://papers.ssrn.com/sol3/papers.cfm?abstract_id=1120269</w:t>
      </w:r>
    </w:p>
    <w:p>
      <w:pPr>
        <w:spacing w:after="240" w:line="240" w:lineRule="atLeast"/>
      </w:pPr>
      <w:r>
        <w:rPr>
          <w:smallCaps w:val="1"/>
          <w:caps w:val="0"/>
        </w:rPr>
        <w:t xml:space="preserve">Graber Christoph-Beat</w:t>
      </w:r>
      <w:r>
        <w:rPr/>
        <w:t xml:space="preserve">/</w:t>
      </w:r>
      <w:r>
        <w:rPr>
          <w:smallCaps w:val="1"/>
          <w:caps w:val="0"/>
        </w:rPr>
        <w:t xml:space="preserve">Burri Mira</w:t>
      </w:r>
      <w:r>
        <w:rPr/>
        <w:t xml:space="preserve">/</w:t>
      </w:r>
      <w:r>
        <w:rPr>
          <w:smallCaps w:val="1"/>
          <w:caps w:val="0"/>
        </w:rPr>
        <w:t xml:space="preserve">Girsberger Michael</w:t>
      </w:r>
      <w:r>
        <w:rPr/>
        <w:t xml:space="preserve">, Collecting Societies - Not Yet "Six Feet Under", in: Indicare Monitor 1/4/2004, https://papers.ssrn.com/sol3/papers.cfm?abstract_id=1345093</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Burri Mira</w:t>
      </w:r>
      <w:r>
        <w:rPr/>
        <w:t xml:space="preserve">, Digital Trade, in: Lim, Chin Leng/Trachtman, Joel (Hrsg.), The Cambridge Companion to World Trade Law, Cambridge 2026, S. 433–448</w:t>
      </w:r>
    </w:p>
    <w:p>
      <w:pPr>
        <w:spacing w:after="240" w:line="240" w:lineRule="atLeast"/>
      </w:pPr>
      <w:r>
        <w:rPr>
          <w:smallCaps w:val="1"/>
          <w:caps w:val="0"/>
        </w:rPr>
        <w:t xml:space="preserve">Burri Mira</w:t>
      </w:r>
      <w:r>
        <w:rPr/>
        <w:t xml:space="preserve">, Inequality and Sustainable Development in Digital Trade Regulation, in: Zhao, X./Ziegler, A. (Hrsg.), International Trade Law and the Sustainable Development Goals, Routledge 2026</w:t>
      </w:r>
    </w:p>
    <w:p>
      <w:pPr>
        <w:spacing w:after="240" w:line="240" w:lineRule="atLeast"/>
      </w:pPr>
      <w:r>
        <w:rPr>
          <w:smallCaps w:val="1"/>
          <w:caps w:val="0"/>
        </w:rPr>
        <w:t xml:space="preserve">Burri Mira</w:t>
      </w:r>
      <w:r>
        <w:rPr/>
        <w:t xml:space="preserve">/</w:t>
      </w:r>
      <w:r>
        <w:rPr>
          <w:smallCaps w:val="1"/>
          <w:caps w:val="0"/>
        </w:rPr>
        <w:t xml:space="preserve">Voon Tania</w:t>
      </w:r>
      <w:r>
        <w:rPr/>
        <w:t xml:space="preserve">, Security Exceptions, Including Cybersecurity, in: Chin Leng Lim &amp; Joel Trachtman (Hrsg.), Cambridge Companion to World Trade Law, Cambridge 2026, S. 413-432 (mit Voon T.)</w:t>
      </w:r>
    </w:p>
    <w:p>
      <w:pPr>
        <w:spacing w:after="240" w:line="240" w:lineRule="atLeast"/>
      </w:pPr>
      <w:r>
        <w:rPr>
          <w:smallCaps w:val="1"/>
          <w:caps w:val="0"/>
        </w:rPr>
        <w:t xml:space="preserve">Burri Mira</w:t>
      </w:r>
      <w:r>
        <w:rPr/>
        <w:t xml:space="preserve">, The Protection of Art and Cultural Heritage by Trademarks, in: Stamatoudi, Irini/Zervaki, Antonia/Shehade, Maria (Hrsg.), Encyclopedia of Art and Cultural Heritage Law, Cheltenham 2026, https://papers.ssrn.com/sol3/papers.cfm?abstract_id=5359084</w:t>
      </w:r>
    </w:p>
    <w:p>
      <w:pPr>
        <w:spacing w:after="240" w:line="240" w:lineRule="atLeast"/>
      </w:pPr>
      <w:r>
        <w:rPr>
          <w:smallCaps w:val="1"/>
          <w:caps w:val="0"/>
        </w:rPr>
        <w:t xml:space="preserve">Burri Mira</w:t>
      </w:r>
      <w:r>
        <w:rPr/>
        <w:t xml:space="preserve">, The UNESCO Convention on the Protection and Promotion of Cultural Diversity, in: Stamatoudi, Irini/Zervaki, Antonia/Shehade, Maria (Hrsg.), Encyclopedia of Art and Cultural Heritage Law, Cheltenham 2026</w:t>
      </w:r>
    </w:p>
    <w:p>
      <w:pPr>
        <w:spacing w:after="240" w:line="240" w:lineRule="atLeast"/>
      </w:pPr>
      <w:r>
        <w:rPr>
          <w:smallCaps w:val="1"/>
          <w:caps w:val="0"/>
        </w:rPr>
        <w:t xml:space="preserve">Burri Mira</w:t>
      </w:r>
      <w:r>
        <w:rPr/>
        <w:t xml:space="preserve">, Digital Trade in Free Trade Agreements, in: Nadakuvaren Schefer, Krista/Cottier, Thomas (Hrsg.), Encyclopedia of International Economic Law, 2. Aufl., Cheltenham 2025, https://ssrn.com/abstract=4721819</w:t>
      </w:r>
    </w:p>
    <w:p>
      <w:pPr>
        <w:spacing w:after="240" w:line="240" w:lineRule="atLeast"/>
      </w:pPr>
      <w:r>
        <w:rPr>
          <w:smallCaps w:val="1"/>
          <w:caps w:val="0"/>
        </w:rPr>
        <w:t xml:space="preserve">Burri Mira</w:t>
      </w:r>
      <w:r>
        <w:rPr/>
        <w:t xml:space="preserve">, Digital Trade under the Law of the World Trade Organization, in: Nadakuvaren Schefer, Krista/Cottier, Thomas (Hrsg.), Elgar Encyclopedia of International Economic Law, 2. Aufl., Cheltenham 2025, https://papers.ssrn.com/sol3/papers.cfm?abstract_id=4721733</w:t>
      </w:r>
    </w:p>
    <w:p>
      <w:pPr>
        <w:spacing w:after="240" w:line="240" w:lineRule="atLeast"/>
      </w:pPr>
      <w:r>
        <w:rPr>
          <w:smallCaps w:val="1"/>
          <w:caps w:val="0"/>
        </w:rPr>
        <w:t xml:space="preserve">Burri Mira</w:t>
      </w:r>
      <w:r>
        <w:rPr/>
        <w:t xml:space="preserve">, Digital Trade: New Design Elements in Preferential Trade Agreements, in: Claussen, Kathleen/Elsig, Manfred/Polanco, Rodrigo (Hrsg.), The Concept Design of a 21 Century Preferential Trade Agreement, Cambridge 2025, S. 146–167, https://papers.ssrn.com/sol3/papers.cfm?abstract_id=4470509</w:t>
      </w:r>
    </w:p>
    <w:p>
      <w:pPr>
        <w:spacing w:after="240" w:line="240" w:lineRule="atLeast"/>
      </w:pPr>
      <w:r>
        <w:rPr>
          <w:smallCaps w:val="1"/>
          <w:caps w:val="0"/>
        </w:rPr>
        <w:t xml:space="preserve">Burri Mira</w:t>
      </w:r>
      <w:r>
        <w:rPr/>
        <w:t xml:space="preserve">, Has the EU External Cultural Policy Been Digitised?, in: Dâmaso, Mafalda (Hrsg.), The European Union as a Global Cultural Actor, Berlin o. J., S. 211–232, https://papers.ssrn.com/sol3/papers.cfm?abstract_id=5188129</w:t>
      </w:r>
    </w:p>
    <w:p>
      <w:pPr>
        <w:spacing w:after="240" w:line="240" w:lineRule="atLeast"/>
      </w:pPr>
      <w:r>
        <w:rPr>
          <w:smallCaps w:val="1"/>
          <w:caps w:val="0"/>
        </w:rPr>
        <w:t xml:space="preserve">Burri Mira</w:t>
      </w:r>
      <w:r>
        <w:rPr/>
        <w:t xml:space="preserve">, Privacy and Data Protection in Trade Agreements, in: Cottier, Thomas/Nadakuvaren-Schefer, Krista (Hrsg.), Encyclopedia of International Economic Law, 2. Aufl., Cheltenham 2025, https://ssrn.com/abstract=4446383</w:t>
      </w:r>
    </w:p>
    <w:p>
      <w:pPr>
        <w:spacing w:after="240" w:line="240" w:lineRule="atLeast"/>
      </w:pPr>
      <w:r>
        <w:rPr>
          <w:smallCaps w:val="1"/>
          <w:caps w:val="0"/>
        </w:rPr>
        <w:t xml:space="preserve">Burri Mira</w:t>
      </w:r>
      <w:r>
        <w:rPr/>
        <w:t xml:space="preserve">, The 2005 UNESCO Convention on Cultural Diversity, in: Stamoudi, I./Zervaki, A./Shahade, M. (Hrsg.), Encyclopedia of Art and Cultural Heritage, Cheltenham 2025</w:t>
      </w:r>
    </w:p>
    <w:p>
      <w:pPr>
        <w:spacing w:after="240" w:line="240" w:lineRule="atLeast"/>
      </w:pPr>
      <w:r>
        <w:rPr>
          <w:smallCaps w:val="1"/>
          <w:caps w:val="0"/>
        </w:rPr>
        <w:t xml:space="preserve">Burri Mira</w:t>
      </w:r>
      <w:r>
        <w:rPr/>
        <w:t xml:space="preserve">, The Law of Data-Driven Trade, in: Durante, Massimo/Pagallo, Ugo (Hrsg.), The DeGruyter Handbook on Law and Digital Technologies, Berlin 2025, S. 229–250, https://papers.ssrn.com/sol3/papers.cfm?abstract_id=5188097</w:t>
      </w:r>
    </w:p>
    <w:p>
      <w:pPr>
        <w:spacing w:after="240" w:line="240" w:lineRule="atLeast"/>
      </w:pPr>
      <w:r>
        <w:rPr>
          <w:smallCaps w:val="1"/>
          <w:caps w:val="0"/>
        </w:rPr>
        <w:t xml:space="preserve">Burri Mira</w:t>
      </w:r>
      <w:r>
        <w:rPr/>
        <w:t xml:space="preserve">, Creating Data Flow Rules through Preferential Trade Agreements, in: Chander, Anupam/Sun, Haochen (Hrsg.), Data Sovereignty: From the Digital Silk Road to the Return of the State, Oxford 2024, S. 264–292, https://doi.org/https://doi.org/10.1093/oso/9780197582794.003.0012</w:t>
      </w:r>
    </w:p>
    <w:p>
      <w:pPr>
        <w:spacing w:after="240" w:line="240" w:lineRule="atLeast"/>
      </w:pPr>
      <w:r>
        <w:rPr>
          <w:smallCaps w:val="1"/>
          <w:caps w:val="0"/>
        </w:rPr>
        <w:t xml:space="preserve">Burri Mira</w:t>
      </w:r>
      <w:r>
        <w:rPr/>
        <w:t xml:space="preserve">/</w:t>
      </w:r>
      <w:r>
        <w:rPr>
          <w:smallCaps w:val="1"/>
          <w:caps w:val="0"/>
        </w:rPr>
        <w:t xml:space="preserve">Irion Kristina</w:t>
      </w:r>
      <w:r>
        <w:rPr/>
        <w:t xml:space="preserve">, Digital Trade, in: Kübek, Gesa/Tams, Christian J./Terhechte, Philipp Jörg (Hrsg.), EU-UK Trade and Cooperation Agreement, München 2024, S. 251–271, https://papers.ssrn.com/sol3/papers.cfm?abstract_id=4620323</w:t>
      </w:r>
    </w:p>
    <w:p>
      <w:pPr>
        <w:spacing w:after="240" w:line="240" w:lineRule="atLeast"/>
      </w:pPr>
      <w:r>
        <w:rPr>
          <w:smallCaps w:val="1"/>
          <w:caps w:val="0"/>
        </w:rPr>
        <w:t xml:space="preserve">Burri Mira</w:t>
      </w:r>
      <w:r>
        <w:rPr/>
        <w:t xml:space="preserve">, Digital Trade, in: Lim, Chin Leng/Trachtman, Joel (Hrsg.), The Cambridge Companion to World Trade Law, Cambridge 2024, S. forthcoming ff., https://doi.org/https://dx.doi.org/10.2139/ssrn.4997980</w:t>
      </w:r>
    </w:p>
    <w:p>
      <w:pPr>
        <w:spacing w:after="240" w:line="240" w:lineRule="atLeast"/>
      </w:pPr>
      <w:r>
        <w:rPr>
          <w:smallCaps w:val="1"/>
          <w:caps w:val="0"/>
        </w:rPr>
        <w:t xml:space="preserve">Burri Mira</w:t>
      </w:r>
      <w:r>
        <w:rPr/>
        <w:t xml:space="preserve">, EU External Trade Policy in the Digital Age: Has Culture Been Left Behind?, in: Psychogiopoulou, Evangelia/Schoenmaekers, Sarah (Hrsg.), European Union Economic Law and Culture, 2. Aufl., Cheltenham 2024, S. 243–267, https://papers.ssrn.com/sol3/papers.cfm?abstract_id=4206008</w:t>
      </w:r>
    </w:p>
    <w:p>
      <w:pPr>
        <w:spacing w:after="240" w:line="240" w:lineRule="atLeast"/>
      </w:pPr>
      <w:r>
        <w:rPr>
          <w:smallCaps w:val="1"/>
          <w:caps w:val="0"/>
        </w:rPr>
        <w:t xml:space="preserve">Burri Mira</w:t>
      </w:r>
      <w:r>
        <w:rPr/>
        <w:t xml:space="preserve">, Foreword to N. Mishra, in: Mishra, Neha (Hrsg.), International Trade Law and Data Governance: Aligning Perspectives and Practices, Open Access 2024, S. 8–9, https://repository.graduateinstitute.ch/record/302641?_gl=1*1428y1g*_gcl_au*NjgwMzc4NTQ1LjE3MzI2MzIzOTE.&amp;_ga=2.228138717.1315006712.1732632392-1290234254.1732632392&amp;v=pdf</w:t>
      </w:r>
    </w:p>
    <w:p>
      <w:pPr>
        <w:spacing w:after="240" w:line="240" w:lineRule="atLeast"/>
      </w:pPr>
      <w:r>
        <w:rPr>
          <w:smallCaps w:val="1"/>
          <w:caps w:val="0"/>
        </w:rPr>
        <w:t xml:space="preserve">Burri Mira</w:t>
      </w:r>
      <w:r>
        <w:rPr/>
        <w:t xml:space="preserve">, Inequalities in Digital Trade and Digital Trade Regulation, in: Askin, Elif/Stoll, Hanna (Hrsg.), Contested Equality: International and Comparative Legal Perspectives, 2. Aufl., Cheltenham 2024, S. 203–220, https://papers.ssrn.com/sol3/papers.cfm?abstract_id=4944990</w:t>
      </w:r>
    </w:p>
    <w:p>
      <w:pPr>
        <w:spacing w:after="240" w:line="240" w:lineRule="atLeast"/>
      </w:pPr>
      <w:r>
        <w:rPr>
          <w:smallCaps w:val="1"/>
          <w:caps w:val="0"/>
        </w:rPr>
        <w:t xml:space="preserve">Burri Mira</w:t>
      </w:r>
      <w:r>
        <w:rPr/>
        <w:t xml:space="preserve">, Communication Services, in: Nadakavukaren Schefer, Krista/Cottier, Thomas (Hrsg.), Encyclopedia of International Economic Law, 2. Aufl., Cheltenham 2023, S. 1–5, https://papers.ssrn.com/sol3/papers.cfm?abstract_id=4448416</w:t>
      </w:r>
    </w:p>
    <w:p>
      <w:pPr>
        <w:spacing w:after="240" w:line="240" w:lineRule="atLeast"/>
      </w:pPr>
      <w:r>
        <w:rPr>
          <w:smallCaps w:val="1"/>
          <w:caps w:val="0"/>
        </w:rPr>
        <w:t xml:space="preserve">Burri Mira</w:t>
      </w:r>
      <w:r>
        <w:rPr/>
        <w:t xml:space="preserve">, Copyright as an Engine for Creativity: A Critical Appraisal of Contemporary Developments in Intermediaries’ Liability Regulation, in: Jung, Yuha/Vakharia, Neville/Vecco, Marilena (Hrsg.), The Oxford Handbook of Arts and Cultural Management, Oxford 2023, S. 221–238, https://ssrn.com/abstract=4039859</w:t>
      </w:r>
    </w:p>
    <w:p>
      <w:pPr>
        <w:spacing w:after="240" w:line="240" w:lineRule="atLeast"/>
      </w:pPr>
      <w:r>
        <w:rPr>
          <w:smallCaps w:val="1"/>
          <w:caps w:val="0"/>
        </w:rPr>
        <w:t xml:space="preserve">Burri Mira</w:t>
      </w:r>
      <w:r>
        <w:rPr/>
        <w:t xml:space="preserve">, Creating Data Flows Rules through Preferential Trade Agreements, in: Chander, A./Sun, H. (Hrsg.), Data Sovereignty along the Digital Silk Road, Oxford 2023, S. 265–291, https://doi.org/10.5281/zenodo.11072445</w:t>
      </w:r>
    </w:p>
    <w:p>
      <w:pPr>
        <w:spacing w:after="240" w:line="240" w:lineRule="atLeast"/>
      </w:pPr>
      <w:r>
        <w:rPr>
          <w:smallCaps w:val="1"/>
          <w:caps w:val="0"/>
        </w:rPr>
        <w:t xml:space="preserve">Burri Mira</w:t>
      </w:r>
      <w:r>
        <w:rPr/>
        <w:t xml:space="preserve">, Digital Cultural Policy in Switzerland: Between Currents and Crosscurrents, in: Hylland, Ole Marius/Primorac, Jaka (Hrsg.), DIGITAL TRANSFORMATION AND CULTURAL POLICIES IN EUROPE, London 2023, S. 103–118, https://doi.org/DOI: 10.4324/9781003334576-7</w:t>
      </w:r>
    </w:p>
    <w:p>
      <w:pPr>
        <w:spacing w:after="240" w:line="240" w:lineRule="atLeast"/>
      </w:pPr>
      <w:r>
        <w:rPr>
          <w:smallCaps w:val="1"/>
          <w:caps w:val="0"/>
        </w:rPr>
        <w:t xml:space="preserve">Burri Mira</w:t>
      </w:r>
      <w:r>
        <w:rPr/>
        <w:t xml:space="preserve">/</w:t>
      </w:r>
      <w:r>
        <w:rPr>
          <w:smallCaps w:val="1"/>
          <w:caps w:val="0"/>
        </w:rPr>
        <w:t xml:space="preserve">Irion Kristina</w:t>
      </w:r>
      <w:r>
        <w:rPr/>
        <w:t xml:space="preserve">, Digital Trade, in: Kübek, G./Tams, C.J./Terhechte, J.P. (Hrsg.), Handbook on the EU-UK Trade and Cooperation Agreement, Baden-Baden 2023, S. 255–275, https://papers.ssrn.com/sol3/papers.cfm?abstract_id=4620323</w:t>
      </w:r>
    </w:p>
    <w:p>
      <w:pPr>
        <w:spacing w:after="240" w:line="240" w:lineRule="atLeast"/>
      </w:pPr>
      <w:r>
        <w:rPr>
          <w:smallCaps w:val="1"/>
          <w:caps w:val="0"/>
        </w:rPr>
        <w:t xml:space="preserve">Burri Mira</w:t>
      </w:r>
      <w:r>
        <w:rPr/>
        <w:t xml:space="preserve">, Digital Trade and the World Trade Organization, in: Cottier, T./Nadakuvaren-Schefer, K. (Hrsg.), Encyclopedia of International Economic Law, 2. Aufl., Cheltenham 2023, https://www.e-elgar.com/shop/gbp/elgar-encyclopedia-of-international-economic-law-9781784713539.html</w:t>
      </w:r>
    </w:p>
    <w:p>
      <w:pPr>
        <w:spacing w:after="240" w:line="240" w:lineRule="atLeast"/>
      </w:pPr>
      <w:r>
        <w:rPr>
          <w:smallCaps w:val="1"/>
          <w:caps w:val="0"/>
        </w:rPr>
        <w:t xml:space="preserve">Burri Mira</w:t>
      </w:r>
      <w:r>
        <w:rPr/>
        <w:t xml:space="preserve">, Digital Transformation as a Reshaper of Global Trade Law, in: Mathis, Klaus/Tor, Avishalom (Hrsg.), Law and Economics of Digital Transformation, Cham 2023, S. 387–407, https://ssrn.com/abstract=4448673</w:t>
      </w:r>
    </w:p>
    <w:p>
      <w:pPr>
        <w:spacing w:after="240" w:line="240" w:lineRule="atLeast"/>
      </w:pPr>
      <w:r>
        <w:rPr>
          <w:smallCaps w:val="1"/>
          <w:caps w:val="0"/>
        </w:rPr>
        <w:t xml:space="preserve">Burri Mira</w:t>
      </w:r>
      <w:r>
        <w:rPr/>
        <w:t xml:space="preserve">, Digital Transformation as a Reshaper of Global Trade Law, Economic Analysis of Law in European Legal Scholarship, in: Mathis, Klaus/Tor, Avishalom (Hrsg.), Law and Economics of Digital Transformation, Bd. 15, Cham 2023, S. 387–407, https://doi.org/10.5281/zenodo.11097135</w:t>
      </w:r>
    </w:p>
    <w:p>
      <w:pPr>
        <w:spacing w:after="240" w:line="240" w:lineRule="atLeast"/>
      </w:pPr>
      <w:r>
        <w:rPr>
          <w:smallCaps w:val="1"/>
          <w:caps w:val="0"/>
        </w:rPr>
        <w:t xml:space="preserve">Burri Mira</w:t>
      </w:r>
      <w:r>
        <w:rPr/>
        <w:t xml:space="preserve">, Digital trade rulemaking in free trade agreements, in: Collins, D./Geist, M. (Hrsg.), Handbook on Digital Trade Law, Cheltenham, UK 2023, S. 9–27, https://doi.org/10.5281/zenodo.12684171</w:t>
      </w:r>
    </w:p>
    <w:p>
      <w:pPr>
        <w:spacing w:after="240" w:line="240" w:lineRule="atLeast"/>
      </w:pPr>
      <w:r>
        <w:rPr>
          <w:smallCaps w:val="1"/>
          <w:caps w:val="0"/>
        </w:rPr>
        <w:t xml:space="preserve">Burri Mira</w:t>
      </w:r>
      <w:r>
        <w:rPr/>
        <w:t xml:space="preserve">, Governing Privacy in the Data-Driven Economy, forthcoming, in: Mercurio, Bryan (Hrsg.), Empowering Transformation: Connectivity and Cross-Border Data Flows, Camberley, Surrey 2023</w:t>
      </w:r>
    </w:p>
    <w:p>
      <w:pPr>
        <w:spacing w:after="240" w:line="240" w:lineRule="atLeast"/>
      </w:pPr>
      <w:r>
        <w:rPr>
          <w:smallCaps w:val="1"/>
          <w:caps w:val="0"/>
        </w:rPr>
        <w:t xml:space="preserve">Burri Mira</w:t>
      </w:r>
      <w:r>
        <w:rPr/>
        <w:t xml:space="preserve">, The European Union as a Digital Cultural Actor, in: Hylland, Ole Marius/Primorac, Jaka (Hrsg.), DIGITAL TRANSFORMATION AND CULTURAL POLICIES IN EUROPE, London 2023, S. 161–180, https://ssrn.com/abstract=4620250</w:t>
      </w:r>
    </w:p>
    <w:p>
      <w:pPr>
        <w:spacing w:after="240" w:line="240" w:lineRule="atLeast"/>
      </w:pPr>
      <w:r>
        <w:rPr>
          <w:smallCaps w:val="1"/>
          <w:caps w:val="0"/>
        </w:rPr>
        <w:t xml:space="preserve">Burri Mira</w:t>
      </w:r>
      <w:r>
        <w:rPr/>
        <w:t xml:space="preserve">, Trade and Culture: The 1970 UNESCO and the 1995 UNIDROIT Conventions and Their Relationship with the 2005 Convention on Cultural Diversity and International Trade Law, forthcoming, in: Vrdoljak, Ana Filipa (Hrsg.), Oxford Handbook on the 1970 and 1995 Conventions, Oxford 2023, https://ssrn.com/abstract=3947050</w:t>
      </w:r>
    </w:p>
    <w:p>
      <w:pPr>
        <w:spacing w:after="240" w:line="240" w:lineRule="atLeast"/>
      </w:pPr>
      <w:r>
        <w:rPr>
          <w:smallCaps w:val="1"/>
          <w:caps w:val="0"/>
        </w:rPr>
        <w:t xml:space="preserve">Burri Mira</w:t>
      </w:r>
      <w:r>
        <w:rPr/>
        <w:t xml:space="preserve">, Adapting Trade Rules for the Age of Big Data, in: Taubman, Antony/Watal, Jayashree (Hrsg.), Trade in Knowledge, Intellectual Property, Trade and Development in a Transformed Global Economy, Cambridge 2022, S. 584–614, https://doi.org/10.5281/zenodo.11126871</w:t>
      </w:r>
    </w:p>
    <w:p>
      <w:pPr>
        <w:spacing w:after="240" w:line="240" w:lineRule="atLeast"/>
      </w:pPr>
      <w:r>
        <w:rPr>
          <w:smallCaps w:val="1"/>
          <w:caps w:val="0"/>
        </w:rPr>
        <w:t xml:space="preserve">Burri Mira</w:t>
      </w:r>
      <w:r>
        <w:rPr/>
        <w:t xml:space="preserve">, Commentary of Article 10 TRIPS, in: Busche, Jan/Stoll/Peter-Tobias/Arend, Katrin (Hrsg.), Max Planck Commentaries on World Trade Law Volume: 7, WTO - Trade-Related Aspects of Intellectual Property Rights, Leiden o. J., https://papers.ssrn.com/sol3/papers.cfm?abstract_id=3634429</w:t>
      </w:r>
    </w:p>
    <w:p>
      <w:pPr>
        <w:spacing w:after="240" w:line="240" w:lineRule="atLeast"/>
      </w:pPr>
      <w:r>
        <w:rPr>
          <w:smallCaps w:val="1"/>
          <w:caps w:val="0"/>
        </w:rPr>
        <w:t xml:space="preserve">Burri Mira</w:t>
      </w:r>
      <w:r>
        <w:rPr/>
        <w:t xml:space="preserve">, Commentary of Article 12 TRIPS, in: Busche, Jan/Stoll/Peter-Tobias/Arend, Katrin (Hrsg.), Max Planck Commentaries on World Trade Law Volume: 7, WTO - Trade-Related Aspects of Intellectual Property Rights, Leiden o. J., https://ssrn.com/abstract=3634427</w:t>
      </w:r>
    </w:p>
    <w:p>
      <w:pPr>
        <w:spacing w:after="240" w:line="240" w:lineRule="atLeast"/>
      </w:pPr>
      <w:r>
        <w:rPr>
          <w:smallCaps w:val="1"/>
          <w:caps w:val="0"/>
        </w:rPr>
        <w:t xml:space="preserve">Burri Mira</w:t>
      </w:r>
      <w:r>
        <w:rPr/>
        <w:t xml:space="preserve">/</w:t>
      </w:r>
      <w:r>
        <w:rPr>
          <w:smallCaps w:val="1"/>
          <w:caps w:val="0"/>
        </w:rPr>
        <w:t xml:space="preserve">Irion Kristina</w:t>
      </w:r>
      <w:r>
        <w:rPr/>
        <w:t xml:space="preserve">, Digitaler Handel, in: Kübek, Gesa/Tams, Christian J./Terhechte, Jörg Philipp (Hrsg.), Handels- und Kooperationsvertrag EU/GB, Handbuch, 1. Auflage, Baden-Baden 2022, S. 343–368, https://doi.org/10.5281/zenodo.11092873</w:t>
      </w:r>
    </w:p>
    <w:p>
      <w:pPr>
        <w:spacing w:after="240" w:line="240" w:lineRule="atLeast"/>
      </w:pPr>
      <w:r>
        <w:rPr>
          <w:smallCaps w:val="1"/>
          <w:caps w:val="0"/>
        </w:rPr>
        <w:t xml:space="preserve">Burri Mira</w:t>
      </w:r>
      <w:r>
        <w:rPr/>
        <w:t xml:space="preserve">, Fake News in Times of Pandemic and Beyond: Exploring of the Rationales for Regulating Information Platforms, in: Mathis, Klaus/Tor, Avishalom (Hrsg.), Law and Economics of the Coronavirus Crisis, Cham 2022, S. 31–58</w:t>
      </w:r>
    </w:p>
    <w:p>
      <w:pPr>
        <w:spacing w:after="240" w:line="240" w:lineRule="atLeast"/>
      </w:pPr>
      <w:r>
        <w:rPr>
          <w:smallCaps w:val="1"/>
          <w:caps w:val="0"/>
        </w:rPr>
        <w:t xml:space="preserve">Burri Mira</w:t>
      </w:r>
      <w:r>
        <w:rPr/>
        <w:t xml:space="preserve">, New Approaches to Data and Big Data in Trade Agreements, in: Viganò, Eleonora/Christen, Markus/Elger, Bernice S./Ienca, Marcello/Loi, Michele/Schneble, Christophe/Burri, Mira/Hauser, Christian/Shaw, David (Hrsg.), Ethical, Legal and Social Issues of Big Data - A Comprehensive Overview, Bern 2022, https://bigdata-dialog.ch/new-approaches-to-data-and-big-data-in-trade-agreements/</w:t>
      </w:r>
    </w:p>
    <w:p>
      <w:pPr>
        <w:spacing w:after="240" w:line="240" w:lineRule="atLeast"/>
      </w:pPr>
      <w:r>
        <w:rPr>
          <w:smallCaps w:val="1"/>
          <w:caps w:val="0"/>
        </w:rPr>
        <w:t xml:space="preserve">Burri Mira</w:t>
      </w:r>
      <w:r>
        <w:rPr/>
        <w:t xml:space="preserve">, Privacy and Data Protection, in: Bethlehem, Daniel/McRae, Donald/Neufeld, Rodney/Van Damme, Isabelle (Hrsg.), Oxford Handbook on International Trade Law, 2nd edn., Oxford 2022, S. 745–767, https://doi.org/10.5281/zenodo.11235184</w:t>
      </w:r>
    </w:p>
    <w:p>
      <w:pPr>
        <w:spacing w:after="240" w:line="240" w:lineRule="atLeast"/>
      </w:pPr>
      <w:r>
        <w:rPr>
          <w:smallCaps w:val="1"/>
          <w:caps w:val="0"/>
        </w:rPr>
        <w:t xml:space="preserve">Burri Mira</w:t>
      </w:r>
      <w:r>
        <w:rPr/>
        <w:t xml:space="preserve">, The Protection of Cultural Heritage by Trademarks, in: Stamatoudi, Irini (Hrsg.), Research Handbook on Intellectual Property and Cultural Heritage, Cheltenham, UK o. J., S. 55–71</w:t>
      </w:r>
    </w:p>
    <w:p>
      <w:pPr>
        <w:spacing w:after="240" w:line="240" w:lineRule="atLeast"/>
      </w:pPr>
      <w:r>
        <w:rPr>
          <w:smallCaps w:val="1"/>
          <w:caps w:val="0"/>
        </w:rPr>
        <w:t xml:space="preserve">Burri Mira</w:t>
      </w:r>
      <w:r>
        <w:rPr/>
        <w:t xml:space="preserve">, Big Data and Global Trade Law: An Introduction, in: Burri, Mira (Hrsg.), Big Data and Global Trade Law, Cambridge 2021, S. 1–8, https://doi.org/https://doi.org/10.1017/9781108919234</w:t>
      </w:r>
    </w:p>
    <w:p>
      <w:pPr>
        <w:spacing w:after="240" w:line="240" w:lineRule="atLeast"/>
      </w:pPr>
      <w:r>
        <w:rPr>
          <w:smallCaps w:val="1"/>
          <w:caps w:val="0"/>
        </w:rPr>
        <w:t xml:space="preserve">Burri Mira</w:t>
      </w:r>
      <w:r>
        <w:rPr/>
        <w:t xml:space="preserve">, Data Flows and Global Trade Law, in: Burri, Mira (Hrsg.), Big Data and Global Trade Law, Cambridge 2021, S. 11–41, https://doi.org/https://doi.org/10.1017/9781108919234</w:t>
      </w:r>
    </w:p>
    <w:p>
      <w:pPr>
        <w:spacing w:after="240" w:line="240" w:lineRule="atLeast"/>
      </w:pPr>
      <w:r>
        <w:rPr>
          <w:smallCaps w:val="1"/>
          <w:caps w:val="0"/>
        </w:rPr>
        <w:t xml:space="preserve">Burri Mira</w:t>
      </w:r>
      <w:r>
        <w:rPr/>
        <w:t xml:space="preserve">, Data Flows versus Data Protection: Mapping Existing Reconciliation Models in Global Trade Law, in: Mathis, Klaus/Tor, Avishalom (Hrsg.), The Law and Economics of Regulation, Cham 2021, S. 129–158, https://doi.org/10.5281/zenodo.11127028</w:t>
      </w:r>
    </w:p>
    <w:p>
      <w:pPr>
        <w:spacing w:after="240" w:line="240" w:lineRule="atLeast"/>
      </w:pPr>
      <w:r>
        <w:rPr>
          <w:smallCaps w:val="1"/>
          <w:caps w:val="0"/>
        </w:rPr>
        <w:t xml:space="preserve">Burri Mira</w:t>
      </w:r>
      <w:r>
        <w:rPr/>
        <w:t xml:space="preserve">, Digital Trade: In Search of Appropriate Regulation, in: Esteban de la Rosa, Fernando/Gil Ruiz, Juana Maria/Hinojosa Martínez, Luis Miguel (Hrsg.), Justice, Trade, Security and Individual Freedoms in the Digital Society, UK 2021, S. 213–247, https://papers.ssrn.com/sol3/papers.cfm?abstract_id=3962165</w:t>
      </w:r>
    </w:p>
    <w:p>
      <w:pPr>
        <w:spacing w:after="240" w:line="240" w:lineRule="atLeast"/>
      </w:pPr>
      <w:r>
        <w:rPr>
          <w:smallCaps w:val="1"/>
          <w:caps w:val="0"/>
        </w:rPr>
        <w:t xml:space="preserve">Burri Mira</w:t>
      </w:r>
      <w:r>
        <w:rPr/>
        <w:t xml:space="preserve">, Commentary of GATS Article IX: Business Practices, in: Wolfrum, Rüdiger/Stoll, Peter-Tobias/Feinäugle, Clemens (Hrsg.), Max-Planck Commentaries on World Trade Law, Vol. 6, WTO - Trade in Services, Leiden/Boston 2020, https://papers.ssrn.com/sol3/papers.cfm?abstract_id=3604086</w:t>
      </w:r>
    </w:p>
    <w:p>
      <w:pPr>
        <w:spacing w:after="240" w:line="240" w:lineRule="atLeast"/>
      </w:pPr>
      <w:r>
        <w:rPr>
          <w:smallCaps w:val="1"/>
          <w:caps w:val="0"/>
        </w:rPr>
        <w:t xml:space="preserve">Burri Mira</w:t>
      </w:r>
      <w:r>
        <w:rPr/>
        <w:t xml:space="preserve">, Cultural Heritage and Intellectual Property, in: Francioni, Francesco/Vrdoljak, Ana Filipa (Hrsg.), Oxford Handbook on International Cultural Heritage Law, Oxford 2020, S. 459–482, https://doi.org/10.1093/law/9780198859871.001.0001</w:t>
      </w:r>
    </w:p>
    <w:p>
      <w:pPr>
        <w:spacing w:after="240" w:line="240" w:lineRule="atLeast"/>
      </w:pPr>
      <w:r>
        <w:rPr>
          <w:smallCaps w:val="1"/>
          <w:caps w:val="0"/>
        </w:rPr>
        <w:t xml:space="preserve">Burri Mira</w:t>
      </w:r>
      <w:r>
        <w:rPr/>
        <w:t xml:space="preserve">, Telecommunications and Media Services in Preferential Trade Agreements: Path Dependences Still Matter, in: Krajewski, Markus/Hoffmann, Rhea (Hrsg.), European Yearbook of International Economic Law: Coherence and Divergence in Agreements on Trade in Services, Bd. 11, Berlin 2020, S. 169–192, https://papers.ssrn.com/sol3/papers.cfm?abstract_id=3504513</w:t>
      </w:r>
    </w:p>
    <w:p>
      <w:pPr>
        <w:spacing w:after="240" w:line="240" w:lineRule="atLeast"/>
      </w:pPr>
      <w:r>
        <w:rPr>
          <w:smallCaps w:val="1"/>
          <w:caps w:val="0"/>
        </w:rPr>
        <w:t xml:space="preserve">Burri Mira</w:t>
      </w:r>
      <w:r>
        <w:rPr/>
        <w:t xml:space="preserve">/</w:t>
      </w:r>
      <w:r>
        <w:rPr>
          <w:smallCaps w:val="1"/>
          <w:caps w:val="0"/>
        </w:rPr>
        <w:t xml:space="preserve">Serrano Omar</w:t>
      </w:r>
      <w:r>
        <w:rPr/>
        <w:t xml:space="preserve">, TRIPs Implementation in Developing Countries: Likely Scenarios to 2025, in: Elsig, Manfred/Hahn, Michael/Spilker, Gabriele (Hrsg.), The Shifting Landscape of Global Trade Governance, Cambridge 2019, S. 275–294, https://papers.ssrn.com/sol3/papers.cfm?abstract_id=3380246</w:t>
      </w:r>
    </w:p>
    <w:p>
      <w:pPr>
        <w:spacing w:after="240" w:line="240" w:lineRule="atLeast"/>
      </w:pPr>
      <w:r>
        <w:rPr>
          <w:smallCaps w:val="1"/>
          <w:caps w:val="0"/>
        </w:rPr>
        <w:t xml:space="preserve">Burri Mira</w:t>
      </w:r>
      <w:r>
        <w:rPr/>
        <w:t xml:space="preserve">, The WTO as an Actor of Global Internet Governance, in: Drake, W.J./Burri, Mira (Hrsg.), The Institutionalization of Global Internet Governance, Cambridge 2019</w:t>
      </w:r>
    </w:p>
    <w:p>
      <w:pPr>
        <w:spacing w:after="240" w:line="240" w:lineRule="atLeast"/>
      </w:pPr>
      <w:r>
        <w:rPr>
          <w:smallCaps w:val="1"/>
          <w:caps w:val="0"/>
        </w:rPr>
        <w:t xml:space="preserve">Burri Mira</w:t>
      </w:r>
      <w:r>
        <w:rPr/>
        <w:t xml:space="preserve">, Understanding and Shaping Trade Rules for the Digital Era, in: Elsig, M./Hahn, M./Spilker, G. (Hrsg.), Future Scenarios for Global Trade Regulation, Cambridge 2019, S. 73–106, https://papers.ssrn.com/sol3/papers.cfm?abstract_id=3288624</w:t>
      </w:r>
    </w:p>
    <w:p>
      <w:pPr>
        <w:spacing w:after="240" w:line="240" w:lineRule="atLeast"/>
      </w:pPr>
      <w:r>
        <w:rPr>
          <w:smallCaps w:val="1"/>
          <w:caps w:val="0"/>
        </w:rPr>
        <w:t xml:space="preserve">Burri Mira</w:t>
      </w:r>
      <w:r>
        <w:rPr/>
        <w:t xml:space="preserve">, Understanding the Implications of Big Data and Big Data Analytics for Competition Law: An Attempt for a Primer, in: Mathis, Klaus/Tor, Avishalom (Hrsg.), New Developments in Competition Law and Economics, Switzerland 2019, S. 241–263, https://papers.ssrn.com/sol3/papers.cfm?abstract_id=3203394</w:t>
      </w:r>
    </w:p>
    <w:p>
      <w:pPr>
        <w:spacing w:after="240" w:line="240" w:lineRule="atLeast"/>
      </w:pPr>
      <w:r>
        <w:rPr>
          <w:smallCaps w:val="1"/>
          <w:caps w:val="0"/>
        </w:rPr>
        <w:t xml:space="preserve">Burri Mira</w:t>
      </w:r>
      <w:r>
        <w:rPr/>
        <w:t xml:space="preserve">, Communication Services, in: Cottier, Thomas/Nadakavukaren Schefer, Krista (Hrsg.), Encyclopedia of International Economic Law, Cheltenham, UK; Northampton, MA, USA 2017, https://papers.ssrn.com/sol3/papers.cfm?abstract_id=2711632&amp;download=yes</w:t>
      </w:r>
    </w:p>
    <w:p>
      <w:pPr>
        <w:spacing w:after="240" w:line="240" w:lineRule="atLeast"/>
      </w:pPr>
      <w:r>
        <w:rPr>
          <w:smallCaps w:val="1"/>
          <w:caps w:val="0"/>
        </w:rPr>
        <w:t xml:space="preserve">Burri Mira</w:t>
      </w:r>
      <w:r>
        <w:rPr/>
        <w:t xml:space="preserve">, The Regulatory Framework for Digital Trade in The Trans-Pacific Partnership Agreement, in: Seuba, Xavier/Roffe, Pedro (Hrsg.), Intellectual Property Rights and Mega-Regional Trade Agreements, Geneva/Strasbourg 2017, S. 65–88, https://papers.ssrn.com/sol3/papers.cfm?abstract_id=3028043</w:t>
      </w:r>
    </w:p>
    <w:p>
      <w:pPr>
        <w:spacing w:after="240" w:line="240" w:lineRule="atLeast"/>
      </w:pPr>
      <w:r>
        <w:rPr>
          <w:smallCaps w:val="1"/>
          <w:caps w:val="0"/>
        </w:rPr>
        <w:t xml:space="preserve">Burri Mira</w:t>
      </w:r>
      <w:r>
        <w:rPr/>
        <w:t xml:space="preserve">, Designing Future-Oriented Multilateral Rules for Digital Trade, in: Sauvé, Pierre/Roy, Martin (Hrsg.), Research Handbook on Trade in Services, Cheltenham 2016, S. 331–356, https://papers.ssrn.com/sol3/papers.cfm?abstract_id=2549552</w:t>
      </w:r>
    </w:p>
    <w:p>
      <w:pPr>
        <w:spacing w:after="240" w:line="240" w:lineRule="atLeast"/>
      </w:pPr>
      <w:r>
        <w:rPr>
          <w:smallCaps w:val="1"/>
          <w:caps w:val="0"/>
        </w:rPr>
        <w:t xml:space="preserve">Burri Mira</w:t>
      </w:r>
      <w:r>
        <w:rPr/>
        <w:t xml:space="preserve">, Exposure Diversity as a New Cultural Policy Objective in the Digital Age, in: Hanania, Lilian, Richieri/Norodom, Anne-Thida (Hrsg.), Cultural Diversity and Digital Technologies, Buenos Aires 2016, S. 209–236, https://papers.ssrn.com/sol3/papers.cfm?abstract_id=2748443</w:t>
      </w:r>
    </w:p>
    <w:p>
      <w:pPr>
        <w:spacing w:after="240" w:line="240" w:lineRule="atLeast"/>
      </w:pPr>
      <w:r>
        <w:rPr>
          <w:smallCaps w:val="1"/>
          <w:caps w:val="0"/>
        </w:rPr>
        <w:t xml:space="preserve">Burri Mira</w:t>
      </w:r>
      <w:r>
        <w:rPr/>
        <w:t xml:space="preserve">, Nudging as a Tool of Media Policy: Understanding and Fostering Exposure Diversity in the Age of Digital Media, European Law and Economics, in: Mathis, Klaus/Tor, Avishalom (Hrsg.), Nudging - Possibilities, Limitations and Applications, Berlin 2016, S. 227–247, https://papers.ssrn.com/sol3/papers.cfm?abstract_id=2638034</w:t>
      </w:r>
    </w:p>
    <w:p>
      <w:pPr>
        <w:spacing w:after="240" w:line="240" w:lineRule="atLeast"/>
      </w:pPr>
      <w:r>
        <w:rPr>
          <w:smallCaps w:val="1"/>
          <w:caps w:val="0"/>
        </w:rPr>
        <w:t xml:space="preserve">Burri Mira</w:t>
      </w:r>
      <w:r>
        <w:rPr/>
        <w:t xml:space="preserve">, The EU, the WTO and Cultural Diversity, in: Psychogiopoulou, Evangelia (Hrsg.), Cultural Governance and the European Union, Basingstoke, UK 2015, S. 195–209, https://papers.ssrn.com/sol3/papers.cfm?abstract_id=2389603</w:t>
      </w:r>
    </w:p>
    <w:p>
      <w:pPr>
        <w:spacing w:after="240" w:line="240" w:lineRule="atLeast"/>
      </w:pPr>
      <w:r>
        <w:rPr>
          <w:smallCaps w:val="1"/>
          <w:caps w:val="0"/>
        </w:rPr>
        <w:t xml:space="preserve">Burri Mira</w:t>
      </w:r>
      <w:r>
        <w:rPr/>
        <w:t xml:space="preserve">, The Trade versus Culture Discourse: Tracing its Evolution in Global Law, in: Vadi, Valentina/de Witte, Bruno (Hrsg.), Culture and International Economic Law, London/New York 2015, S. 104–123, https://papers.ssrn.com/sol3/papers.cfm?abstract_id=2319953&amp;rec=1&amp;srcabs=2021035&amp;alg=7&amp;pos=2</w:t>
      </w:r>
    </w:p>
    <w:p>
      <w:pPr>
        <w:spacing w:after="240" w:line="240" w:lineRule="atLeast"/>
      </w:pPr>
      <w:r>
        <w:rPr>
          <w:smallCaps w:val="1"/>
          <w:caps w:val="0"/>
        </w:rPr>
        <w:t xml:space="preserve">Burri Mira</w:t>
      </w:r>
      <w:r>
        <w:rPr/>
        <w:t xml:space="preserve">/</w:t>
      </w:r>
      <w:r>
        <w:rPr>
          <w:smallCaps w:val="1"/>
          <w:caps w:val="0"/>
        </w:rPr>
        <w:t xml:space="preserve">Meitinger Ingo</w:t>
      </w:r>
      <w:r>
        <w:rPr/>
        <w:t xml:space="preserve">, The Protection of Undisclosed Information: Commentary of Article 39 TRIPS, in: Cottier, Thomas/Véron, Pierre (Hrsg.), Concise International and European IP Law: TRIPS, Paris Convention, European Enforcement and Transfer of Technology, The Hague 2014, https://papers.ssrn.com/sol3/papers.cfm?abstract_id=2439180</w:t>
      </w:r>
    </w:p>
    <w:p>
      <w:pPr>
        <w:spacing w:after="240" w:line="240" w:lineRule="atLeast"/>
      </w:pPr>
      <w:r>
        <w:rPr>
          <w:smallCaps w:val="1"/>
          <w:caps w:val="0"/>
        </w:rPr>
        <w:t xml:space="preserve">Burri Mira</w:t>
      </w:r>
      <w:r>
        <w:rPr/>
        <w:t xml:space="preserve">, Trade versus Culture: The Policy of Cultural Exception and the World Trade Organization, in: Pauwels, Caroline et al. (Hrsg.), Palgrave Handbook of European Media Policy, Basingstoke, UK 2013, S. 478–492, https://papers.ssrn.com/sol3/papers.cfm?abstract_id=2125805</w:t>
      </w:r>
    </w:p>
    <w:p>
      <w:pPr>
        <w:spacing w:after="240" w:line="240" w:lineRule="atLeast"/>
      </w:pPr>
      <w:r>
        <w:rPr>
          <w:smallCaps w:val="1"/>
          <w:caps w:val="0"/>
        </w:rPr>
        <w:t xml:space="preserve">Burri Mira</w:t>
      </w:r>
      <w:r>
        <w:rPr/>
        <w:t xml:space="preserve">, Controlling New Media (without the Law), in: Price, Monroe/Verhulst, Stefaan (Hrsg.), Handbook of Media Law, London/New York 2012, S. 327–342, https://papers.ssrn.com/sol3/papers.cfm?abstract_id=1961942</w:t>
      </w:r>
    </w:p>
    <w:p>
      <w:pPr>
        <w:spacing w:after="240" w:line="240" w:lineRule="atLeast"/>
      </w:pPr>
      <w:r>
        <w:rPr>
          <w:smallCaps w:val="1"/>
          <w:caps w:val="0"/>
        </w:rPr>
        <w:t xml:space="preserve">Burri Mira</w:t>
      </w:r>
      <w:r>
        <w:rPr/>
        <w:t xml:space="preserve">/</w:t>
      </w:r>
      <w:r>
        <w:rPr>
          <w:smallCaps w:val="1"/>
          <w:caps w:val="0"/>
        </w:rPr>
        <w:t xml:space="preserve">Cottier Thomas</w:t>
      </w:r>
      <w:r>
        <w:rPr/>
        <w:t xml:space="preserve">, Introduction: Digital Technologies and International Trade Regulation, in: Burri, Mira/Cottier, Thomas (Hrsg.), Trade Governance in the Digital Age, Cambridge 2012, S. 1–14, https://papers.ssrn.com/sol3/papers.cfm?abstract_id=1934805</w:t>
      </w:r>
    </w:p>
    <w:p>
      <w:pPr>
        <w:spacing w:after="240" w:line="240" w:lineRule="atLeast"/>
      </w:pPr>
      <w:r>
        <w:rPr>
          <w:smallCaps w:val="1"/>
          <w:caps w:val="0"/>
        </w:rPr>
        <w:t xml:space="preserve">Burri Mira</w:t>
      </w:r>
      <w:r>
        <w:rPr/>
        <w:t xml:space="preserve">, The Global Digital Divide as Impeded Access to Content, in: Burri, Mira/Cottier, Thomas (Hrsg.), Trade Governance in the Digital Age, Cambridge 2012, S. 396–420, https://papers.ssrn.com/sol3/papers.cfm?abstract_id=1838225</w:t>
      </w:r>
    </w:p>
    <w:p>
      <w:pPr>
        <w:spacing w:after="240" w:line="240" w:lineRule="atLeast"/>
      </w:pPr>
      <w:r>
        <w:rPr>
          <w:smallCaps w:val="1"/>
          <w:caps w:val="0"/>
        </w:rPr>
        <w:t xml:space="preserve">Burri Mira</w:t>
      </w:r>
      <w:r>
        <w:rPr/>
        <w:t xml:space="preserve">, Cultural Protectionism 2.0: Updating Cultural Policy Tools for the Digital Age, in: Candeub, Adam/Pager, Sean (Hrsg.), Transnational Culture in the Internet Age, Cheltenham 2011, S. 182–212, https://papers.ssrn.com/sol3/papers.cfm?abstract_id=2020991</w:t>
      </w:r>
    </w:p>
    <w:p>
      <w:pPr>
        <w:spacing w:after="240" w:line="240" w:lineRule="atLeast"/>
      </w:pPr>
      <w:r>
        <w:rPr>
          <w:smallCaps w:val="1"/>
          <w:caps w:val="0"/>
        </w:rPr>
        <w:t xml:space="preserve">Burri Mira</w:t>
      </w:r>
      <w:r>
        <w:rPr/>
        <w:t xml:space="preserve">/</w:t>
      </w:r>
      <w:r>
        <w:rPr>
          <w:smallCaps w:val="1"/>
          <w:caps w:val="0"/>
        </w:rPr>
        <w:t xml:space="preserve">Graber Christoph-Beat</w:t>
      </w:r>
      <w:r>
        <w:rPr/>
        <w:t xml:space="preserve">/</w:t>
      </w:r>
      <w:r>
        <w:rPr>
          <w:smallCaps w:val="1"/>
          <w:caps w:val="0"/>
        </w:rPr>
        <w:t xml:space="preserve">Steiner Thomas</w:t>
      </w:r>
      <w:r>
        <w:rPr/>
        <w:t xml:space="preserve">, The Protection and Promotion of Cultural Diversity in a Digital Networked Environment: Mapping Possible Advances to Coherence, in: Cottier, Thomas/Delimatsis, Panagiotis (Hrsg.), The Prospects of International Trade Regulation, Cambridge 2011, S. 359–393, https://papers.ssrn.com/sol3/papers.cfm?abstract_id=1464853##</w:t>
      </w:r>
    </w:p>
    <w:p>
      <w:pPr>
        <w:spacing w:after="240" w:line="240" w:lineRule="atLeast"/>
      </w:pPr>
      <w:r>
        <w:rPr>
          <w:smallCaps w:val="1"/>
          <w:caps w:val="0"/>
        </w:rPr>
        <w:t xml:space="preserve">Burri Mira</w:t>
      </w:r>
      <w:r>
        <w:rPr/>
        <w:t xml:space="preserve">, User Created Content and Cultural Diversity in Online Worlds, in: Burri, Mira/Graber Christoph B. (Hrsg.), Governance of Digital Games Environments and Cultural Diversity, Cheltenham 2010, S. 74–112, https://papers.ssrn.com/sol3/papers.cfm?abstract_id=1316847</w:t>
      </w:r>
    </w:p>
    <w:p>
      <w:pPr>
        <w:spacing w:after="240" w:line="240" w:lineRule="atLeast"/>
      </w:pPr>
      <w:r>
        <w:rPr>
          <w:smallCaps w:val="1"/>
          <w:caps w:val="0"/>
        </w:rPr>
        <w:t xml:space="preserve">Burri Mira</w:t>
      </w:r>
      <w:r>
        <w:rPr/>
        <w:t xml:space="preserve">, International Regulation of Postal Communication, in: Wolfrum, Rüdiger (Hrsg.), Max-Planck Encyclopedia of Public International Law, Oxford 2009, https://papers.ssrn.com/sol3/papers.cfm?abstract_id=1707473</w:t>
      </w:r>
    </w:p>
    <w:p>
      <w:pPr>
        <w:spacing w:after="240" w:line="240" w:lineRule="atLeast"/>
      </w:pPr>
      <w:r>
        <w:rPr>
          <w:smallCaps w:val="1"/>
          <w:caps w:val="0"/>
        </w:rPr>
        <w:t xml:space="preserve">Burri Mira</w:t>
      </w:r>
      <w:r>
        <w:rPr/>
        <w:t xml:space="preserve">, The Protection and Promotion of Cultural Diversity at the International Level, in: Lydia B. Kerwin (Hrsg.), Cultural Diversity: Issues, Challenges and Perspectives, New York 2009, https://papers.ssrn.com/sol3/papers.cfm?abstract_id=1370440</w:t>
      </w:r>
    </w:p>
    <w:p>
      <w:pPr>
        <w:spacing w:after="240" w:line="240" w:lineRule="atLeast"/>
      </w:pPr>
      <w:r>
        <w:rPr>
          <w:smallCaps w:val="1"/>
          <w:caps w:val="0"/>
        </w:rPr>
        <w:t xml:space="preserve">Burri Mira</w:t>
      </w:r>
      <w:r>
        <w:rPr/>
        <w:t xml:space="preserve">/</w:t>
      </w:r>
      <w:r>
        <w:rPr>
          <w:smallCaps w:val="1"/>
          <w:caps w:val="0"/>
        </w:rPr>
        <w:t xml:space="preserve">Bigdeli Sadeq</w:t>
      </w:r>
      <w:r>
        <w:rPr/>
        <w:t xml:space="preserve">, Commentary of GATS Article IX: Business Practices, in: Wolfrum, Rüdiger/Stoll, Peter-Tobias/Feinäugle, Clemens (Hrsg.), Max-Planck Commentaries on World Trade Law: Trade in Services, Bd. 6, Leiden/Boston 2008, S. 220–233, https://papers.ssrn.com/sol3/papers.cfm?abstract_id=1261868</w:t>
      </w:r>
    </w:p>
    <w:p>
      <w:pPr>
        <w:spacing w:after="240" w:line="240" w:lineRule="atLeast"/>
      </w:pPr>
      <w:r>
        <w:rPr>
          <w:smallCaps w:val="1"/>
          <w:caps w:val="0"/>
        </w:rPr>
        <w:t xml:space="preserve">Burri Mira</w:t>
      </w:r>
      <w:r>
        <w:rPr/>
        <w:t xml:space="preserve">, New Technologies and the Protection and Promotion of Traditional Cultural Expressions, in: V. Madhuri (Hrsg.), Traditional Knowledge: Impediments to IPR Protection, Hyderabad 2008, S. 131–168, https://papers.ssrn.com/sol3/papers.cfm?abstract_id=1090824</w:t>
      </w:r>
    </w:p>
    <w:p>
      <w:pPr>
        <w:spacing w:after="240" w:line="240" w:lineRule="atLeast"/>
      </w:pPr>
      <w:r>
        <w:rPr>
          <w:smallCaps w:val="1"/>
          <w:caps w:val="0"/>
        </w:rPr>
        <w:t xml:space="preserve">Graber Christoph-Beat</w:t>
      </w:r>
      <w:r>
        <w:rPr/>
        <w:t xml:space="preserve">/</w:t>
      </w:r>
      <w:r>
        <w:rPr>
          <w:smallCaps w:val="1"/>
          <w:caps w:val="0"/>
        </w:rPr>
        <w:t xml:space="preserve">Burri Mira</w:t>
      </w:r>
      <w:r>
        <w:rPr/>
        <w:t xml:space="preserve">, Preface, in: Christoph Beat Graber/Mira Burri-Nenova (Hrsg.), Intellectual Property and Traditional Cultural Expressions in a Digital Environment, Cheltenham 2008, S. 11–13, http://papers.ssrn.com/sol3/papers.cfm?abstract_id=1295949</w:t>
      </w:r>
    </w:p>
    <w:p>
      <w:pPr>
        <w:spacing w:after="240" w:line="240" w:lineRule="atLeast"/>
      </w:pPr>
      <w:r>
        <w:rPr>
          <w:smallCaps w:val="1"/>
          <w:caps w:val="0"/>
        </w:rPr>
        <w:t xml:space="preserve">Burri Mira</w:t>
      </w:r>
      <w:r>
        <w:rPr/>
        <w:t xml:space="preserve">, The Long Tail of the Rainbow Serpent: New Technologies and the Protection and Promotion of Traditional Cultural Expressions, in: Christoph Beat Graber/Mira Burri-Nenova (Hrsg.), Intellectual Property and Traditional Cultural Expressions in a Digital Environment, Cheltenham 2008, S. 205–236, https://papers.ssrn.com/sol3/papers.cfm?abstract_id=1140187</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Burri, Mira</w:t>
      </w:r>
      <w:r>
        <w:rPr/>
        <w:t xml:space="preserve"> (Hrsg.), Big Data and Global Trade Law, Cambridge 2021, https://doi.org/10.1017/9781108919234</w:t>
      </w:r>
    </w:p>
    <w:p>
      <w:pPr>
        <w:spacing w:after="240" w:line="240" w:lineRule="atLeast"/>
      </w:pPr>
      <w:r>
        <w:rPr>
          <w:smallCaps w:val="1"/>
          <w:caps w:val="0"/>
        </w:rPr>
        <w:t xml:space="preserve">Burri, Mira</w:t>
      </w:r>
      <w:r>
        <w:rPr/>
        <w:t xml:space="preserve">/</w:t>
      </w:r>
      <w:r>
        <w:rPr>
          <w:smallCaps w:val="1"/>
          <w:caps w:val="0"/>
        </w:rPr>
        <w:t xml:space="preserve">Cottier, Thomas</w:t>
      </w:r>
      <w:r>
        <w:rPr/>
        <w:t xml:space="preserve"> (Hrsg.), Trade Governance in the Digital Age, Cambridge 2012, https://doi.org/10.1017/CBO9781139136716</w:t>
      </w:r>
    </w:p>
    <w:p>
      <w:pPr>
        <w:spacing w:after="240" w:line="240" w:lineRule="atLeast"/>
      </w:pPr>
      <w:r>
        <w:rPr>
          <w:smallCaps w:val="1"/>
          <w:caps w:val="0"/>
        </w:rPr>
        <w:t xml:space="preserve">Burri, Mira</w:t>
      </w:r>
      <w:r>
        <w:rPr/>
        <w:t xml:space="preserve">/</w:t>
      </w:r>
      <w:r>
        <w:rPr>
          <w:smallCaps w:val="1"/>
          <w:caps w:val="0"/>
        </w:rPr>
        <w:t xml:space="preserve">Graber, Christoph Beat</w:t>
      </w:r>
      <w:r>
        <w:rPr/>
        <w:t xml:space="preserve"> (Hrsg.), Governance of Digital Games Environments and Cultural Diversity: Transdisciplinary Perspectives, Cheltenham 2010, https://papers.ssrn.com/sol3/papers.cfm?abstract_id=1546449</w:t>
      </w:r>
    </w:p>
    <w:p>
      <w:pPr>
        <w:spacing w:after="240" w:line="240" w:lineRule="atLeast"/>
      </w:pPr>
      <w:r>
        <w:rPr>
          <w:smallCaps w:val="1"/>
          <w:caps w:val="0"/>
        </w:rPr>
        <w:t xml:space="preserve">Burri, Mira</w:t>
      </w:r>
      <w:r>
        <w:rPr/>
        <w:t xml:space="preserve">/</w:t>
      </w:r>
      <w:r>
        <w:rPr>
          <w:smallCaps w:val="1"/>
          <w:caps w:val="0"/>
        </w:rPr>
        <w:t xml:space="preserve">Graber, Christoph Beat</w:t>
      </w:r>
      <w:r>
        <w:rPr/>
        <w:t xml:space="preserve"> (Hrsg.), Intellectual Property and Traditional Cultural Expressions in a Digital Environment, Cheltenham 2008, http://papers.ssrn.com/sol3/papers.cfm?abstract_id=1295950</w:t>
      </w:r>
    </w:p>
    <w:p>
      <w:pPr>
        <w:spacing w:after="240" w:line="240" w:lineRule="atLeast"/>
      </w:pPr>
      <w:r>
        <w:rPr>
          <w:smallCaps w:val="1"/>
          <w:caps w:val="0"/>
        </w:rPr>
        <w:t xml:space="preserve">Graber, Christoph Beat</w:t>
      </w:r>
      <w:r>
        <w:rPr/>
        <w:t xml:space="preserve">/</w:t>
      </w:r>
      <w:r>
        <w:rPr>
          <w:smallCaps w:val="1"/>
          <w:caps w:val="0"/>
        </w:rPr>
        <w:t xml:space="preserve">Govoni, Garlo</w:t>
      </w:r>
      <w:r>
        <w:rPr/>
        <w:t xml:space="preserve">/</w:t>
      </w:r>
      <w:r>
        <w:rPr>
          <w:smallCaps w:val="1"/>
          <w:caps w:val="0"/>
        </w:rPr>
        <w:t xml:space="preserve">Girsberger, Michael</w:t>
      </w:r>
      <w:r>
        <w:rPr/>
        <w:t xml:space="preserve">/</w:t>
      </w:r>
      <w:r>
        <w:rPr>
          <w:smallCaps w:val="1"/>
          <w:caps w:val="0"/>
        </w:rPr>
        <w:t xml:space="preserve">Burri Nenova, Mira</w:t>
      </w:r>
      <w:r>
        <w:rPr/>
        <w:t xml:space="preserve"> (Hrsg.), Digital Rights Management: The End of Collecting Societies?, Bern/New York/Bruylant, Brussles/Ant. N. Sakkoulas, Athens 2005</w:t>
      </w:r>
    </w:p>
    <w:p>
      <w:pPr>
        <w:spacing w:after="240" w:line="240" w:lineRule="atLeast"/>
      </w:pPr>
      <w:r>
        <w:rPr>
          <w:smallCaps w:val="1"/>
          <w:caps w:val="0"/>
        </w:rPr>
        <w:t xml:space="preserve">Burri, Mira</w:t>
      </w:r>
      <w:r>
        <w:rPr/>
        <w:t xml:space="preserve">/</w:t>
      </w:r>
      <w:r>
        <w:rPr>
          <w:smallCaps w:val="1"/>
          <w:caps w:val="0"/>
        </w:rPr>
        <w:t xml:space="preserve">Graber, Christoph Beat</w:t>
      </w:r>
      <w:r>
        <w:rPr/>
        <w:t xml:space="preserve">/</w:t>
      </w:r>
      <w:r>
        <w:rPr>
          <w:smallCaps w:val="1"/>
          <w:caps w:val="0"/>
        </w:rPr>
        <w:t xml:space="preserve">Girsberger, Mike</w:t>
      </w:r>
      <w:r>
        <w:rPr/>
        <w:t xml:space="preserve"> (Hrsg.), Free Trade versus Cultural Diversity: WTO Negotiations in the Field of Audiovisual Services, Zürich 2004, https://www.unilu.ch/fileadmin/shared/Publikationen/Free-Trade-versus-Cultural-Diversity.pdf</w:t>
      </w:r>
    </w:p>
    <w:p>
      <w:pPr>
        <w:spacing w:after="240" w:line="240" w:lineRule="atLeast"/>
        <w:rPr>
          <w:b/>
          <w:bCs/>
        </w:rPr>
      </w:pPr>
      <w:r>
        <w:rPr>
          <w:b/>
          <w:bCs/>
        </w:rPr>
        <w:t xml:space="preserve">Artikel in Publikumsmedien</w:t>
      </w:r>
    </w:p>
    <w:p>
      <w:pPr>
        <w:spacing w:after="240" w:line="240" w:lineRule="atLeast"/>
      </w:pPr>
      <w:r>
        <w:rPr>
          <w:smallCaps w:val="1"/>
          <w:caps w:val="0"/>
        </w:rPr>
        <w:t xml:space="preserve">Burri Mira</w:t>
      </w:r>
      <w:r>
        <w:rPr/>
        <w:t xml:space="preserve">, Open Science in den Rechtswissenschaften, cognitio - studentisches Forum für Recht und Gesellschaft 2025, https://doi.org/10.5281/zenodo.15533375</w:t>
      </w:r>
    </w:p>
    <w:p>
      <w:pPr>
        <w:spacing w:after="240" w:line="240" w:lineRule="atLeast"/>
      </w:pPr>
      <w:r>
        <w:rPr>
          <w:smallCaps w:val="1"/>
          <w:caps w:val="0"/>
        </w:rPr>
        <w:t xml:space="preserve">Burri Mira</w:t>
      </w:r>
      <w:r>
        <w:rPr/>
        <w:t xml:space="preserve">, Wie soll man die globalen Datenflüsse regulieren?, Die Volkswirtschaft 18.07.2019, https://dievolkswirtschaft.ch/de/2019/07/burri-08-09-2019/</w:t>
      </w:r>
    </w:p>
    <w:p>
      <w:pPr>
        <w:spacing w:after="240" w:line="240" w:lineRule="atLeast"/>
      </w:pPr>
      <w:r>
        <w:rPr>
          <w:smallCaps w:val="1"/>
          <w:caps w:val="0"/>
        </w:rPr>
        <w:t xml:space="preserve">Burri Mira</w:t>
      </w:r>
      <w:r>
        <w:rPr/>
        <w:t xml:space="preserve">/</w:t>
      </w:r>
      <w:r>
        <w:rPr>
          <w:smallCaps w:val="1"/>
          <w:caps w:val="0"/>
        </w:rPr>
        <w:t xml:space="preserve">Fanger Reto</w:t>
      </w:r>
      <w:r>
        <w:rPr/>
        <w:t xml:space="preserve">, Elektronische Aufbewahrung: Einige rechtliche Aspekte, IT-Markt 2017, http://www.it-markt.ch/news/2017-06-12/einige-rechtliche-aspekte-zur-elektronischen-aufbewahrung</w:t>
      </w:r>
    </w:p>
    <w:p>
      <w:pPr>
        <w:spacing w:after="240" w:line="240" w:lineRule="atLeast"/>
      </w:pPr>
      <w:r>
        <w:rPr>
          <w:smallCaps w:val="1"/>
          <w:caps w:val="0"/>
        </w:rPr>
        <w:t xml:space="preserve">Burri Mira</w:t>
      </w:r>
      <w:r>
        <w:rPr/>
        <w:t xml:space="preserve">, Digitaler Handel stürzt Regulatoren ins Dilemma, unipress 166/2015, https://www.wti.org/media/filer_public/c7/a1/c7a155bb-5361-4809-91ba-1786aaad8609/up_166_s_14_burri.pdf</w:t>
      </w:r>
    </w:p>
    <w:p>
      <w:pPr>
        <w:spacing w:after="240" w:line="240" w:lineRule="atLeast"/>
      </w:pPr>
      <w:r>
        <w:rPr>
          <w:smallCaps w:val="1"/>
          <w:caps w:val="0"/>
        </w:rPr>
        <w:t xml:space="preserve">Burri Mira</w:t>
      </w:r>
      <w:r>
        <w:rPr/>
        <w:t xml:space="preserve">, Die Zukunft des Internets entscheidet sich jetzt, unipress 160/2014, https://www.wti.org/media/filer_public/7b/e8/7be87dd4-e659-4a80-a8d5-d8bfb25dd479/up_160_s_38_meinung.pdf</w:t>
      </w:r>
    </w:p>
    <w:p>
      <w:pPr>
        <w:spacing w:after="240" w:line="240" w:lineRule="atLeast"/>
      </w:pPr>
      <w:r>
        <w:rPr>
          <w:smallCaps w:val="1"/>
          <w:caps w:val="0"/>
        </w:rPr>
        <w:t xml:space="preserve">Burri Mira</w:t>
      </w:r>
      <w:r>
        <w:rPr/>
        <w:t xml:space="preserve">, Globale Internet Governance – wie weiter, asut bulletin 3/2014, http://boris.unibe.ch/51996/1/asut3_14SP1.pdf</w:t>
      </w:r>
    </w:p>
    <w:p>
      <w:pPr>
        <w:spacing w:after="240" w:line="240" w:lineRule="atLeast"/>
      </w:pPr>
      <w:r>
        <w:rPr>
          <w:smallCaps w:val="1"/>
          <w:caps w:val="0"/>
        </w:rPr>
        <w:t xml:space="preserve">Burri Mira</w:t>
      </w:r>
      <w:r>
        <w:rPr/>
        <w:t xml:space="preserve">, Immer mehr staatlich verordnete Grenzen im Cyberspace, Neue Zürcher Zeitung 2010</w:t>
      </w:r>
    </w:p>
    <w:p>
      <w:pPr>
        <w:spacing w:after="240" w:line="240" w:lineRule="atLeast"/>
      </w:pPr>
      <w:r>
        <w:rPr>
          <w:smallCaps w:val="1"/>
          <w:caps w:val="0"/>
        </w:rPr>
        <w:t xml:space="preserve">Burri Mira</w:t>
      </w:r>
      <w:r>
        <w:rPr/>
        <w:t xml:space="preserve">, Protecting Cultural Diversity in the Digital World (In der digitalen Welt die kulturelle Vielfalt schützen), UniPress – Forschung und Wissenschaft 136/2008</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Protection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Emerging Technologies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Developing Countries and Digital Trade, Report for the Mission of Japan in Geneva,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UK’s Digital Trade Agreements: Implications for DRCF Regulators, Report for the UK Government,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The State of Digital Trade Rulemaking: Lessons from Asia and Africa, WEF Community Paper,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Source Code Regulation in Trade Agreements, WEF and ACKF Policy Brief, 15.02.2025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Cross-Border Data Flows Regulation in FTAs and DEAs: Implications for ASEAN, WEF and ACKF Policy Brief, 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Policies for AEC Post-2025 Vision, Where Next? Priorities for the ASEAN Economic Community Post-2025, 2025, S. 74–90</w:t>
      </w:r>
    </w:p>
    <w:p>
      <w:pPr>
        <w:spacing w:after="240" w:line="240" w:lineRule="atLeast"/>
      </w:pPr>
      <w:r>
        <w:rPr>
          <w:smallCaps w:val="1"/>
          <w:caps w:val="0"/>
        </w:rPr>
        <w:t xml:space="preserve">Burri Mira</w:t>
      </w:r>
      <w:r>
        <w:rPr/>
        <w:t xml:space="preserve">, Global Trade Governance in the Digital Era, ERIA Research Project Report, 15, 2025, S. 77–89</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Non-Discriminatory Treatment of Digital Products, 15.08.2024</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Digital Economy Agreements: A Closer Look at the New Phenomenon in Digital Trade Rulemaking, 15.06.2024</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Regulation of Personal Data Protection, Cross-Border Data Flows, Data Localization, and the Non-Disclosure of Source Code in Free Trade Agreements’, Consultancy for the Identification and Survey of International Best Practices in the Field of Digital Trade Regulation for Technical Support to the Integration and Trade Sector (RG-T4108), 15.04.2024</w:t>
      </w:r>
    </w:p>
    <w:p>
      <w:pPr>
        <w:spacing w:after="240" w:line="240" w:lineRule="atLeast"/>
      </w:pPr>
      <w:r>
        <w:rPr>
          <w:smallCaps w:val="1"/>
          <w:caps w:val="0"/>
        </w:rPr>
        <w:t xml:space="preserve">Burri Mira</w:t>
      </w:r>
      <w:r>
        <w:rPr/>
        <w:t xml:space="preserve">, Regulatory Autonomy in Digital Trade Agreements, Study for SECO, 15.01.2024</w:t>
      </w:r>
    </w:p>
    <w:p>
      <w:pPr>
        <w:spacing w:after="240" w:line="240" w:lineRule="atLeast"/>
      </w:pPr>
      <w:r>
        <w:rPr>
          <w:smallCaps w:val="1"/>
          <w:caps w:val="0"/>
        </w:rPr>
        <w:t xml:space="preserve">Burri Mira</w:t>
      </w:r>
      <w:r>
        <w:rPr/>
        <w:t xml:space="preserve">, Diversity and Pluralism in the Audiovisual Sector with the Rise of Artificial Intelligence, Artificial Intelligence in the Audiovisual Sector, Strasbourg 2024, S. 89–98, https://rm.coe.int/iris-2024-3-ia-legal-landscape/1680b1e999</w:t>
      </w:r>
    </w:p>
    <w:p>
      <w:pPr>
        <w:spacing w:after="240" w:line="240" w:lineRule="atLeast"/>
      </w:pPr>
      <w:r>
        <w:rPr>
          <w:smallCaps w:val="1"/>
          <w:caps w:val="0"/>
        </w:rPr>
        <w:t xml:space="preserve">Burri Mira</w:t>
      </w:r>
      <w:r>
        <w:rPr/>
        <w:t xml:space="preserve">, Diversity and Pluralism in the Audiovisual Sector with the Rise of Artificial Intelligence, Artificial Intelligence in the Audiovisual Sector, IRIS Special Report, 2024, S. 89–98</w:t>
      </w:r>
    </w:p>
    <w:p>
      <w:pPr>
        <w:spacing w:after="240" w:line="240" w:lineRule="atLeast"/>
      </w:pPr>
      <w:r>
        <w:rPr>
          <w:smallCaps w:val="1"/>
          <w:caps w:val="0"/>
        </w:rPr>
        <w:t xml:space="preserve">Burri Mira</w:t>
      </w:r>
      <w:r>
        <w:rPr/>
        <w:t xml:space="preserve">/</w:t>
      </w:r>
      <w:r>
        <w:rPr>
          <w:smallCaps w:val="1"/>
          <w:caps w:val="0"/>
        </w:rPr>
        <w:t xml:space="preserve">Keida Mansi</w:t>
      </w:r>
      <w:r>
        <w:rPr/>
        <w:t xml:space="preserve">/</w:t>
      </w:r>
      <w:r>
        <w:rPr>
          <w:smallCaps w:val="1"/>
          <w:caps w:val="0"/>
        </w:rPr>
        <w:t xml:space="preserve">Chan Chin Yik</w:t>
      </w:r>
      <w:r>
        <w:rPr/>
        <w:t xml:space="preserve">/</w:t>
      </w:r>
      <w:r>
        <w:rPr>
          <w:smallCaps w:val="1"/>
          <w:caps w:val="0"/>
        </w:rPr>
        <w:t xml:space="preserve">Aaranson Ariel</w:t>
      </w:r>
      <w:r>
        <w:rPr/>
        <w:t xml:space="preserve">, Governing Cross-Border Data Flows: International Trade Agreements and their Limits, 12.04.2023, https://oxgs.org/2023/04/12/governing-cross-border-data-flows-international-trade-agreements/</w:t>
      </w:r>
    </w:p>
    <w:p>
      <w:pPr>
        <w:spacing w:after="240" w:line="240" w:lineRule="atLeast"/>
      </w:pPr>
      <w:r>
        <w:rPr>
          <w:smallCaps w:val="1"/>
          <w:caps w:val="0"/>
        </w:rPr>
        <w:t xml:space="preserve">Burri Mira</w:t>
      </w:r>
      <w:r>
        <w:rPr/>
        <w:t xml:space="preserve">, 7. Study on Digital Trade for Malawi, a report for the government of Malawi commissioned by GIZ, 01.03.2023</w:t>
      </w:r>
    </w:p>
    <w:p>
      <w:pPr>
        <w:spacing w:after="240" w:line="240" w:lineRule="atLeast"/>
      </w:pPr>
      <w:r>
        <w:rPr>
          <w:smallCaps w:val="1"/>
          <w:caps w:val="0"/>
        </w:rPr>
        <w:t xml:space="preserve">Burri Mira</w:t>
      </w:r>
      <w:r>
        <w:rPr/>
        <w:t xml:space="preserve">, Exploring the Potential of a Future EU-Japan Digital Partnership for Trade Governance, 25.03.2022, https://ssrn.com/abstract=4066464</w:t>
      </w:r>
    </w:p>
    <w:p>
      <w:pPr>
        <w:spacing w:after="240" w:line="240" w:lineRule="atLeast"/>
      </w:pPr>
      <w:r>
        <w:rPr>
          <w:smallCaps w:val="1"/>
          <w:caps w:val="0"/>
        </w:rPr>
        <w:t xml:space="preserve">Burri Mira</w:t>
      </w:r>
      <w:r>
        <w:rPr/>
        <w:t xml:space="preserve">, New Approaches to Data and Big Data in Trade Agreements, 2022, https://ssrn.com/abstract=4081192</w:t>
      </w:r>
    </w:p>
    <w:p>
      <w:pPr>
        <w:spacing w:after="240" w:line="240" w:lineRule="atLeast"/>
      </w:pPr>
      <w:r>
        <w:rPr>
          <w:smallCaps w:val="1"/>
          <w:caps w:val="0"/>
        </w:rPr>
        <w:t xml:space="preserve">Burri Mira</w:t>
      </w:r>
      <w:r>
        <w:rPr/>
        <w:t xml:space="preserve">, Cultural Diversity Policy in the Age of AI, ERA Report on Audiovisual Polcy and AI, IRIS Special, Strasbourg 2020, S. 69–84, https://rm.coe.int/iris-special-2-2020en-artificial-intelligence-in-the-audiovisual-secto/1680a11e0b</w:t>
      </w:r>
    </w:p>
    <w:p>
      <w:pPr>
        <w:spacing w:after="240" w:line="240" w:lineRule="atLeast"/>
      </w:pPr>
      <w:r>
        <w:rPr>
          <w:smallCaps w:val="1"/>
          <w:caps w:val="0"/>
        </w:rPr>
        <w:t xml:space="preserve">Burri Mira</w:t>
      </w:r>
      <w:r>
        <w:rPr/>
        <w:t xml:space="preserve">, How Should the WTO Respond to the Data-driven Economy?, Modernizing the World Trage Organization Essay Series, Waterloo 2020, https://papers.ssrn.com/sol3/papers.cfm?abstract_id=3535121</w:t>
      </w:r>
    </w:p>
    <w:p>
      <w:pPr>
        <w:spacing w:after="240" w:line="240" w:lineRule="atLeast"/>
      </w:pPr>
      <w:r>
        <w:rPr>
          <w:smallCaps w:val="1"/>
          <w:caps w:val="0"/>
        </w:rPr>
        <w:t xml:space="preserve">Burri Mira</w:t>
      </w:r>
      <w:r>
        <w:rPr/>
        <w:t xml:space="preserve">, Culture in the CARIFORUM- European Union Economic Partnership Agreement: Rebalancing Trade Flows between Europe and the Caribbean?, 2019, https://papers.ssrn.com/sol3/papers.cfm?abstract_id=3413874</w:t>
      </w:r>
    </w:p>
    <w:p>
      <w:pPr>
        <w:spacing w:after="240" w:line="240" w:lineRule="atLeast"/>
      </w:pPr>
      <w:r>
        <w:rPr>
          <w:smallCaps w:val="1"/>
          <w:caps w:val="0"/>
        </w:rPr>
        <w:t xml:space="preserve">Burri Mira</w:t>
      </w:r>
      <w:r>
        <w:rPr/>
        <w:t xml:space="preserve">, Discoverability of Local, Regional and National Content, A Thought Leadership Paper, 2019, https://papers.ssrn.com/sol3/papers.cfm?abstract_id=3366849</w:t>
      </w:r>
    </w:p>
    <w:p>
      <w:pPr>
        <w:spacing w:after="240" w:line="240" w:lineRule="atLeast"/>
      </w:pPr>
      <w:r>
        <w:rPr>
          <w:smallCaps w:val="1"/>
          <w:caps w:val="0"/>
        </w:rPr>
        <w:t xml:space="preserve">Burri Mira</w:t>
      </w:r>
      <w:r>
        <w:rPr/>
        <w:t xml:space="preserve">, Current and Emerging Trends in Disruptive Technologies: Implications for the Present and Future of EU’s Trade Policy, EXPO_STU(2017)603 845, 2017, http://www.europarl.europa.eu/RegData/etudes/STUD/2017/603845/EXPO_STU(2017)603845_EN.pdf</w:t>
      </w:r>
    </w:p>
    <w:p>
      <w:pPr>
        <w:spacing w:after="240" w:line="240" w:lineRule="atLeast"/>
      </w:pPr>
      <w:r>
        <w:rPr>
          <w:smallCaps w:val="1"/>
          <w:caps w:val="0"/>
        </w:rPr>
        <w:t xml:space="preserve">Burri Mira</w:t>
      </w:r>
      <w:r>
        <w:rPr/>
        <w:t xml:space="preserve">, Over-the-top Services: Market Development and Regulatory Issues, 2015</w:t>
      </w:r>
    </w:p>
    <w:p>
      <w:pPr>
        <w:spacing w:after="240" w:line="240" w:lineRule="atLeast"/>
      </w:pPr>
      <w:r>
        <w:rPr>
          <w:smallCaps w:val="1"/>
          <w:caps w:val="0"/>
        </w:rPr>
        <w:t xml:space="preserve">Burri Mira</w:t>
      </w:r>
      <w:r>
        <w:rPr/>
        <w:t xml:space="preserve">, The Impact of the International Legal Framework, in Particular the WTO and UNESCO, on the Pursuit of Cultural Diversity Objectives Online, 2014, https://papers.ssrn.com/sol3/papers.cfm?abstract_id=2271035</w:t>
      </w:r>
    </w:p>
    <w:p>
      <w:pPr>
        <w:spacing w:after="240" w:line="240" w:lineRule="atLeast"/>
      </w:pPr>
      <w:r>
        <w:rPr>
          <w:smallCaps w:val="1"/>
          <w:caps w:val="0"/>
        </w:rPr>
        <w:t xml:space="preserve">Guèvremont Véronique</w:t>
      </w:r>
      <w:r>
        <w:rPr/>
        <w:t xml:space="preserve">/</w:t>
      </w:r>
      <w:r>
        <w:rPr>
          <w:smallCaps w:val="1"/>
          <w:caps w:val="0"/>
        </w:rPr>
        <w:t xml:space="preserve">Bernier Ivan</w:t>
      </w:r>
      <w:r>
        <w:rPr/>
        <w:t xml:space="preserve">/</w:t>
      </w:r>
      <w:r>
        <w:rPr>
          <w:smallCaps w:val="1"/>
          <w:caps w:val="0"/>
        </w:rPr>
        <w:t xml:space="preserve">Burri Mira</w:t>
      </w:r>
      <w:r>
        <w:rPr/>
        <w:t xml:space="preserve">/</w:t>
      </w:r>
      <w:r>
        <w:rPr>
          <w:smallCaps w:val="1"/>
          <w:caps w:val="0"/>
        </w:rPr>
        <w:t xml:space="preserve">Cornu Marie</w:t>
      </w:r>
      <w:r>
        <w:rPr/>
        <w:t xml:space="preserve">/</w:t>
      </w:r>
      <w:r>
        <w:rPr>
          <w:smallCaps w:val="1"/>
          <w:caps w:val="0"/>
        </w:rPr>
        <w:t xml:space="preserve">Hanania Lilian</w:t>
      </w:r>
      <w:r>
        <w:rPr/>
        <w:t xml:space="preserve">/</w:t>
      </w:r>
      <w:r>
        <w:rPr>
          <w:smallCaps w:val="1"/>
          <w:caps w:val="0"/>
        </w:rPr>
        <w:t xml:space="preserve">Ruiz Fabri Hélène</w:t>
      </w:r>
      <w:r>
        <w:rPr/>
        <w:t xml:space="preserve">, Implementation of the Convention on the Protection and Promotion of the Diversity of Cultural Expressions in the Digital Age: Challenges, Priority Actions and Recommendations, 2013</w:t>
      </w:r>
    </w:p>
    <w:p>
      <w:pPr>
        <w:spacing w:after="240" w:line="240" w:lineRule="atLeast"/>
      </w:pPr>
      <w:r>
        <w:rPr>
          <w:smallCaps w:val="1"/>
          <w:caps w:val="0"/>
        </w:rPr>
        <w:t xml:space="preserve">Burri Mira</w:t>
      </w:r>
      <w:r>
        <w:rPr/>
        <w:t xml:space="preserve">, Should There Be New Multilateral Rules for Digital Trade?, 2013, https://papers.ssrn.com/sol3/papers.cfm?abstract_id=2344629</w:t>
      </w:r>
    </w:p>
    <w:p>
      <w:pPr>
        <w:spacing w:after="240" w:line="240" w:lineRule="atLeast"/>
      </w:pPr>
      <w:r>
        <w:rPr>
          <w:smallCaps w:val="1"/>
          <w:caps w:val="0"/>
        </w:rPr>
        <w:t xml:space="preserve">Burri Mira</w:t>
      </w:r>
      <w:r>
        <w:rPr/>
        <w:t xml:space="preserve">, Über die Rhetorik hinaus: Reale Auswirkungen der UNESCO-Konvention zum Schutz der kulturellen Vielfalt, 2011</w:t>
      </w:r>
    </w:p>
    <w:p>
      <w:pPr>
        <w:spacing w:after="240" w:line="240" w:lineRule="atLeast"/>
      </w:pPr>
      <w:r>
        <w:rPr>
          <w:smallCaps w:val="1"/>
          <w:caps w:val="0"/>
        </w:rPr>
        <w:t xml:space="preserve">Burri Mira</w:t>
      </w:r>
      <w:r>
        <w:rPr/>
        <w:t xml:space="preserve">, Implementing the UNESCO Convention in EU’s Internal Policies, 2010, https://papers.ssrn.com/sol3/papers.cfm?abstract_id=1675291</w:t>
      </w:r>
    </w:p>
    <w:p>
      <w:pPr>
        <w:spacing w:after="240" w:line="240" w:lineRule="atLeast"/>
      </w:pPr>
      <w:r>
        <w:rPr>
          <w:smallCaps w:val="1"/>
          <w:caps w:val="0"/>
        </w:rPr>
        <w:t xml:space="preserve">Burri Mira</w:t>
      </w:r>
      <w:r>
        <w:rPr/>
        <w:t xml:space="preserve">, Cultural Diversity, Contribution to the Civil Society Background Paper "The Future of the Internet Economy", 2008, https://papers.ssrn.com/sol3/papers.cfm?abstract_id=1298909</w:t>
      </w:r>
    </w:p>
    <w:p>
      <w:pPr>
        <w:spacing w:after="240" w:line="240" w:lineRule="atLeast"/>
        <w:rPr>
          <w:b/>
          <w:bCs/>
        </w:rPr>
      </w:pPr>
      <w:r>
        <w:rPr>
          <w:b/>
          <w:bCs/>
        </w:rPr>
        <w:t xml:space="preserve">Interview</w:t>
      </w:r>
    </w:p>
    <w:p>
      <w:pPr>
        <w:spacing w:after="240" w:line="240" w:lineRule="atLeast"/>
      </w:pPr>
      <w:r>
        <w:rPr>
          <w:smallCaps w:val="1"/>
          <w:caps w:val="0"/>
        </w:rPr>
        <w:t xml:space="preserve">Burri Mira</w:t>
      </w:r>
      <w:r>
        <w:rPr/>
        <w:t xml:space="preserve">, Switzerland among Vanguard Shaping Global Digital Age, swissinfo.ch, 27.11.2025, https://www.swissinfo.ch/eng/foreign-affairs/switzerland-among-vanguard-shaping-global-digital-age/90321686</w:t>
      </w:r>
    </w:p>
    <w:p>
      <w:pPr>
        <w:spacing w:after="240" w:line="240" w:lineRule="atLeast"/>
      </w:pPr>
      <w:r>
        <w:rPr>
          <w:smallCaps w:val="1"/>
          <w:caps w:val="0"/>
        </w:rPr>
        <w:t xml:space="preserve">Burri Mira</w:t>
      </w:r>
      <w:r>
        <w:rPr/>
        <w:t xml:space="preserve">, Open Science ist für unsere Forschung von zentraler Bedeutung, News Universität Luzern, 23.12.2024</w:t>
      </w:r>
    </w:p>
    <w:p>
      <w:pPr>
        <w:spacing w:after="240" w:line="240" w:lineRule="atLeast"/>
      </w:pPr>
      <w:r>
        <w:rPr>
          <w:smallCaps w:val="1"/>
          <w:caps w:val="0"/>
        </w:rPr>
        <w:t xml:space="preserve">Burri Mira</w:t>
      </w:r>
      <w:r>
        <w:rPr/>
        <w:t xml:space="preserve">, Big Data: Data Flows and Trade Law, medie conference, Medienzentrum Bern, 04.03.2023</w:t>
      </w:r>
    </w:p>
    <w:p>
      <w:pPr>
        <w:spacing w:after="240" w:line="240" w:lineRule="atLeast"/>
        <w:rPr>
          <w:b/>
          <w:bCs/>
        </w:rPr>
      </w:pPr>
      <w:r>
        <w:rPr>
          <w:b/>
          <w:bCs/>
        </w:rPr>
        <w:t xml:space="preserve">Rezension, Editorial</w:t>
      </w:r>
    </w:p>
    <w:p>
      <w:pPr>
        <w:spacing w:after="240" w:line="240" w:lineRule="atLeast"/>
      </w:pPr>
      <w:r>
        <w:rPr>
          <w:smallCaps w:val="1"/>
          <w:caps w:val="0"/>
        </w:rPr>
        <w:t xml:space="preserve">Burri Mira</w:t>
      </w:r>
      <w:r>
        <w:rPr/>
        <w:t xml:space="preserve">, Foreword / Critical Acclaim, in: Vasquez Callo-Müller, Maria (Hrsg.), International Intellectual Property Law in the Age of AI Data, Copyright and Trade Secrets , 2026</w:t>
      </w:r>
    </w:p>
    <w:p>
      <w:pPr>
        <w:spacing w:after="240" w:line="240" w:lineRule="atLeast"/>
      </w:pPr>
      <w:r>
        <w:rPr>
          <w:smallCaps w:val="1"/>
          <w:caps w:val="0"/>
        </w:rPr>
        <w:t xml:space="preserve">Burri Mira</w:t>
      </w:r>
      <w:r>
        <w:rPr/>
        <w:t xml:space="preserve">, Book Review: "International Economic Law in the Era of Datafication", in: World Trade Review 24/2025, S. 423–426</w:t>
      </w:r>
    </w:p>
    <w:p>
      <w:pPr>
        <w:spacing w:after="240" w:line="240" w:lineRule="atLeast"/>
      </w:pPr>
      <w:r>
        <w:rPr>
          <w:smallCaps w:val="1"/>
          <w:caps w:val="0"/>
        </w:rPr>
        <w:t xml:space="preserve">Burri Mira</w:t>
      </w:r>
      <w:r>
        <w:rPr/>
        <w:t xml:space="preserve">, Data Governance and International Trade Law: Exploring Paths towards Convergence, in: Journal of International Economic Law 28/2025/2024, S. 128–132, https://doi.org/https://doi.org/10.1093/jiel/jgaf001</w:t>
      </w:r>
    </w:p>
    <w:p>
      <w:pPr>
        <w:spacing w:after="240" w:line="240" w:lineRule="atLeast"/>
      </w:pPr>
      <w:r>
        <w:rPr>
          <w:smallCaps w:val="1"/>
          <w:caps w:val="0"/>
        </w:rPr>
        <w:t xml:space="preserve">Burri Mira</w:t>
      </w:r>
      <w:r>
        <w:rPr/>
        <w:t xml:space="preserve">, Book Review: "Cultural Heritage in International Economic Law" by Valentina Vadi, in: American Journal of International Law 118/2024, S. 780–786</w:t>
      </w:r>
    </w:p>
    <w:p>
      <w:pPr>
        <w:spacing w:after="240" w:line="240" w:lineRule="atLeast"/>
      </w:pPr>
      <w:r>
        <w:rPr>
          <w:smallCaps w:val="1"/>
          <w:caps w:val="0"/>
        </w:rPr>
        <w:t xml:space="preserve">Burri Mira</w:t>
      </w:r>
      <w:r>
        <w:rPr/>
        <w:t xml:space="preserve">, The Future of Public Service Broadcasting: Grim or Bright?, in: European Journal of Communication 35:1/2020, S. 65–70, https://doi.org/http://dx.doi.org/10.2139/ssrn.3482474</w:t>
      </w:r>
    </w:p>
    <w:p>
      <w:pPr>
        <w:spacing w:after="240" w:line="240" w:lineRule="atLeast"/>
      </w:pPr>
      <w:r>
        <w:rPr>
          <w:smallCaps w:val="1"/>
          <w:caps w:val="0"/>
        </w:rPr>
        <w:t xml:space="preserve">Burri Mira</w:t>
      </w:r>
      <w:r>
        <w:rPr/>
        <w:t xml:space="preserve">, Governing Science and Technology under the International Economic Order Regulatory Divergence and Convergence in the Age of Megaregionals, in: Asian Journal of International Law 1/2020, S. 411–413, https://papers.ssrn.com/sol3/papers.cfm?abstract_id=3535122</w:t>
      </w:r>
    </w:p>
    <w:p>
      <w:pPr>
        <w:spacing w:after="240" w:line="240" w:lineRule="atLeast"/>
      </w:pPr>
      <w:r>
        <w:rPr>
          <w:smallCaps w:val="1"/>
          <w:caps w:val="0"/>
        </w:rPr>
        <w:t xml:space="preserve">Burri Mira</w:t>
      </w:r>
      <w:r>
        <w:rPr/>
        <w:t xml:space="preserve">, Communications and Competition Law: Key Issues in the Telecoms, Media and Technology Sectors, in: Computer and Telecommunications Law Review 6/2016, S. 170–171, https://papers.ssrn.com/sol3/papers.cfm?abstract_id=2704759</w:t>
      </w:r>
    </w:p>
    <w:p>
      <w:pPr>
        <w:spacing w:after="240" w:line="240" w:lineRule="atLeast"/>
      </w:pPr>
      <w:r>
        <w:rPr>
          <w:smallCaps w:val="1"/>
          <w:caps w:val="0"/>
        </w:rPr>
        <w:t xml:space="preserve">Burri Mira</w:t>
      </w:r>
      <w:r>
        <w:rPr/>
        <w:t xml:space="preserve">, Regulating Code, in: International Journal of Law and Information Technology 22/2/2014, S. 208–214</w:t>
      </w:r>
    </w:p>
    <w:p>
      <w:pPr>
        <w:spacing w:after="240" w:line="240" w:lineRule="atLeast"/>
      </w:pPr>
      <w:r>
        <w:rPr>
          <w:smallCaps w:val="1"/>
          <w:caps w:val="0"/>
        </w:rPr>
        <w:t xml:space="preserve">Burri Mira</w:t>
      </w:r>
      <w:r>
        <w:rPr/>
        <w:t xml:space="preserve">, Beyond Wikileaks: Implications for the Future of Communications, Journalism and Society, in: Journal of Information Policy 4/2014, S. 23–27, https://papers.ssrn.com/sol3/papers.cfm?abstract_id=2389561</w:t>
      </w:r>
    </w:p>
    <w:p>
      <w:pPr>
        <w:spacing w:after="240" w:line="240" w:lineRule="atLeast"/>
      </w:pPr>
      <w:r>
        <w:rPr>
          <w:smallCaps w:val="1"/>
          <w:caps w:val="0"/>
        </w:rPr>
        <w:t xml:space="preserve">Burri Mira</w:t>
      </w:r>
      <w:r>
        <w:rPr/>
        <w:t xml:space="preserve">, Connecting Dots in a World of Bits, in: Opinio Juris 2013, https://papers.ssrn.com/sol3/papers.cfm?abstract_id=2344630</w:t>
      </w:r>
    </w:p>
    <w:p>
      <w:pPr>
        <w:spacing w:after="240" w:line="240" w:lineRule="atLeast"/>
      </w:pPr>
      <w:r>
        <w:rPr>
          <w:smallCaps w:val="1"/>
          <w:caps w:val="0"/>
        </w:rPr>
        <w:t xml:space="preserve">Burri Mira</w:t>
      </w:r>
      <w:r>
        <w:rPr/>
        <w:t xml:space="preserve">, Public Service Media and Policy in Europe, in: Common Market Law Review 49/2012, https://papers.ssrn.com/sol3/papers.cfm?abstract_id=2100435</w:t>
      </w:r>
    </w:p>
    <w:p>
      <w:pPr>
        <w:spacing w:after="240" w:line="240" w:lineRule="atLeast"/>
      </w:pPr>
      <w:r>
        <w:rPr>
          <w:smallCaps w:val="1"/>
          <w:caps w:val="0"/>
        </w:rPr>
        <w:t xml:space="preserve">Burri Mira</w:t>
      </w:r>
      <w:r>
        <w:rPr/>
        <w:t xml:space="preserve">, The International Law of Culture: Prospects and Challenges, in: International Journal of Cultural Property 19/2012, S. 579–581, https://papers.ssrn.com/sol3/papers.cfm?abstract_id=2187303</w:t>
      </w:r>
    </w:p>
    <w:p>
      <w:pPr>
        <w:spacing w:after="240" w:line="240" w:lineRule="atLeast"/>
      </w:pPr>
      <w:r>
        <w:rPr>
          <w:smallCaps w:val="1"/>
          <w:caps w:val="0"/>
        </w:rPr>
        <w:t xml:space="preserve">Burri Mira</w:t>
      </w:r>
      <w:r>
        <w:rPr/>
        <w:t xml:space="preserve">, Protection of Cultural Diversity from a European and International Perspective, in: Common Market Law Review 47/2010, https://papers.ssrn.com/sol3/papers.cfm?abstract_id=1596531</w:t>
      </w:r>
    </w:p>
    <w:p>
      <w:pPr>
        <w:spacing w:after="240" w:line="240" w:lineRule="atLeast"/>
      </w:pPr>
      <w:r>
        <w:rPr>
          <w:smallCaps w:val="1"/>
          <w:caps w:val="0"/>
        </w:rPr>
        <w:t xml:space="preserve">Burri Mira</w:t>
      </w:r>
      <w:r>
        <w:rPr/>
        <w:t xml:space="preserve">, Public Broadcasting and European Law, Irini Katsirea, in: European Law Review 34/2/2009, S. 336–338, https://papers.ssrn.com/sol3/papers.cfm?abstract_id=1320188</w:t>
      </w:r>
    </w:p>
    <w:p>
      <w:pPr>
        <w:spacing w:after="240" w:line="240" w:lineRule="atLeast"/>
      </w:pPr>
      <w:r>
        <w:rPr>
          <w:smallCaps w:val="1"/>
          <w:caps w:val="0"/>
        </w:rPr>
        <w:t xml:space="preserve">Burri Mira</w:t>
      </w:r>
      <w:r>
        <w:rPr/>
        <w:t xml:space="preserve">, Intellectual Property, Public Policy, and International Trade, in: European Journal of International Law 20/2009, S. 923–925, https://papers.ssrn.com/sol3/papers.cfm?abstract_id=1403132</w:t>
      </w:r>
    </w:p>
    <w:p>
      <w:pPr>
        <w:spacing w:after="240" w:line="240" w:lineRule="atLeast"/>
      </w:pPr>
      <w:r>
        <w:rPr>
          <w:smallCaps w:val="1"/>
          <w:caps w:val="0"/>
        </w:rPr>
        <w:t xml:space="preserve">Burri Mira</w:t>
      </w:r>
      <w:r>
        <w:rPr/>
        <w:t xml:space="preserve">, Regulating Content - European Regulatory Framework for the Media and Related Creative Sectors, Holoubek/Damjanovic/Traimer (eds.), in: Common Market Law Review 44/6/2007, S. 1835–1837, https://papers.ssrn.com/sol3/papers.cfm?abstract_id=1262755</w:t>
      </w:r>
    </w:p>
    <w:p>
      <w:pPr>
        <w:spacing w:after="240" w:line="240" w:lineRule="atLeast"/>
        <w:rPr>
          <w:b/>
          <w:bCs/>
        </w:rPr>
      </w:pPr>
      <w:r>
        <w:rPr>
          <w:b/>
          <w:bCs/>
        </w:rPr>
        <w:t xml:space="preserve">Virtuelle Medien: Blog, Forum, Newsgruppe, Website</w:t>
      </w:r>
    </w:p>
    <w:p>
      <w:pPr>
        <w:spacing w:after="240" w:line="240" w:lineRule="atLeast"/>
      </w:pPr>
      <w:r>
        <w:rPr>
          <w:smallCaps w:val="1"/>
          <w:caps w:val="0"/>
        </w:rPr>
        <w:t xml:space="preserve">Burri Mira</w:t>
      </w:r>
      <w:r>
        <w:rPr/>
        <w:t xml:space="preserve">, Big Data, Small World, Video, 20.01.2021, https://www.youtube.com/watch?v=4BtzCkEofLc</w:t>
      </w:r>
    </w:p>
    <w:p>
      <w:pPr>
        <w:spacing w:after="240" w:line="240" w:lineRule="atLeast"/>
      </w:pPr>
      <w:r>
        <w:rPr>
          <w:smallCaps w:val="1"/>
          <w:caps w:val="0"/>
        </w:rPr>
        <w:t xml:space="preserve">Burri Mira</w:t>
      </w:r>
      <w:r>
        <w:rPr/>
        <w:t xml:space="preserve">, How the WTO Can Prepare for the Digital Economy? Video, 04.05.2020, https://www.cigionline.org/multimedia/video-how-wto-can-prepare-digital-economy/</w:t>
      </w:r>
    </w:p>
    <w:p>
      <w:pPr>
        <w:spacing w:after="240" w:line="240" w:lineRule="atLeast"/>
      </w:pPr>
      <w:r>
        <w:rPr>
          <w:smallCaps w:val="1"/>
          <w:caps w:val="0"/>
        </w:rPr>
        <w:t xml:space="preserve">Burri Mira</w:t>
      </w:r>
      <w:r>
        <w:rPr/>
        <w:t xml:space="preserve">, How Should the WTO Respond to the Data-driven Economy?, 2020, https://www.cigionline.org/articles/how-should-wto-respond-data-driven-economy</w:t>
      </w:r>
    </w:p>
    <w:p>
      <w:pPr>
        <w:spacing w:after="240" w:line="240" w:lineRule="atLeast"/>
      </w:pPr>
      <w:r>
        <w:rPr>
          <w:smallCaps w:val="1"/>
          <w:caps w:val="0"/>
        </w:rPr>
        <w:t xml:space="preserve">Burri Mira</w:t>
      </w:r>
      <w:r>
        <w:rPr/>
        <w:t xml:space="preserve">, Die reale Auswirkung der UNESCO-Konvention, insbesondere für die Schweiz, Interview mit DRS4, 2011, https://www.srf.ch/radio-srf-4-news</w:t>
      </w:r>
    </w:p>
    <w:p>
      <w:pPr>
        <w:spacing w:after="240" w:line="240" w:lineRule="atLeast"/>
      </w:pPr>
      <w:r>
        <w:rPr>
          <w:smallCaps w:val="1"/>
          <w:caps w:val="0"/>
        </w:rPr>
        <w:t xml:space="preserve">Burri Mira</w:t>
      </w:r>
      <w:r>
        <w:rPr/>
        <w:t xml:space="preserve">, Trade and Culture: Paths to (Re)conciliation, 2009, http://www.intlawgrrls.com/2009/03/trade-culture-paths-to-reconciliation.html</w:t>
      </w:r>
    </w:p>
    <w:p>
      <w:pPr>
        <w:spacing w:after="240" w:line="240" w:lineRule="atLeast"/>
        <w:rPr>
          <w:b/>
          <w:bCs/>
        </w:rPr>
      </w:pPr>
      <w:r>
        <w:rPr>
          <w:b/>
          <w:bCs/>
        </w:rPr>
        <w:t xml:space="preserve">Working Paper</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 Digitization, Regulatory Barriers and Sustainable Development, Trade Law 4.0 Working Paper No 3/2023, 2023, https://doi.org/10.5281/zenodo.11072197</w:t>
      </w:r>
    </w:p>
    <w:p>
      <w:pPr>
        <w:spacing w:after="240" w:line="240" w:lineRule="atLeast"/>
      </w:pPr>
      <w:r>
        <w:rPr>
          <w:smallCaps w:val="1"/>
          <w:caps w:val="0"/>
        </w:rPr>
        <w:t xml:space="preserve">Burri Mira</w:t>
      </w:r>
      <w:r>
        <w:rPr/>
        <w:t xml:space="preserve">, EU-External Trade Policy in the Digital Age, Has Culture Benn Left Behind?, Trade Law 4.0 Working Paper Series, 01.08.2022, https://doi.org/10.5281/zenodo.11085176</w:t>
      </w:r>
    </w:p>
    <w:p>
      <w:pPr>
        <w:spacing w:after="240" w:line="240" w:lineRule="atLeast"/>
      </w:pPr>
      <w:r>
        <w:rPr>
          <w:smallCaps w:val="1"/>
          <w:caps w:val="0"/>
        </w:rPr>
        <w:t xml:space="preserve">Burri Mira</w:t>
      </w:r>
      <w:r>
        <w:rPr/>
        <w:t xml:space="preserve">/</w:t>
      </w:r>
      <w:r>
        <w:rPr>
          <w:smallCaps w:val="1"/>
          <w:caps w:val="0"/>
        </w:rPr>
        <w:t xml:space="preserve">Serrano Omar</w:t>
      </w:r>
      <w:r>
        <w:rPr/>
        <w:t xml:space="preserve">, Making Use of the TRIPS Flexibilities: Compulsory Licensing in India and Brazil, WTI Working Paper, 1, 2016, https://papers.ssrn.com/sol3/papers.cfm?abstract_id=2748447</w:t>
      </w:r>
    </w:p>
    <w:p>
      <w:pPr>
        <w:spacing w:after="240" w:line="240" w:lineRule="atLeast"/>
      </w:pPr>
      <w:r>
        <w:rPr>
          <w:smallCaps w:val="1"/>
          <w:caps w:val="0"/>
        </w:rPr>
        <w:t xml:space="preserve">Bannerman Sara</w:t>
      </w:r>
      <w:r>
        <w:rPr/>
        <w:t xml:space="preserve">/</w:t>
      </w:r>
      <w:r>
        <w:rPr>
          <w:smallCaps w:val="1"/>
          <w:caps w:val="0"/>
        </w:rPr>
        <w:t xml:space="preserve">Burri Mira</w:t>
      </w:r>
      <w:r>
        <w:rPr/>
        <w:t xml:space="preserve">/</w:t>
      </w:r>
      <w:r>
        <w:rPr>
          <w:smallCaps w:val="1"/>
          <w:caps w:val="0"/>
        </w:rPr>
        <w:t xml:space="preserve">Morin Jean-Frédéric</w:t>
      </w:r>
      <w:r>
        <w:rPr/>
        <w:t xml:space="preserve">/</w:t>
      </w:r>
      <w:r>
        <w:rPr>
          <w:smallCaps w:val="1"/>
          <w:caps w:val="0"/>
        </w:rPr>
        <w:t xml:space="preserve">Serrano Omar</w:t>
      </w:r>
      <w:r>
        <w:rPr/>
        <w:t xml:space="preserve">, Rising Economies in the International Patent Regime: From Rule-Breakers to Rule-Makers, 2016, https://ssrn.com/abstract=3032903</w:t>
      </w:r>
    </w:p>
    <w:p>
      <w:pPr>
        <w:spacing w:after="240" w:line="240" w:lineRule="atLeast"/>
      </w:pPr>
      <w:r>
        <w:rPr>
          <w:smallCaps w:val="1"/>
          <w:caps w:val="0"/>
        </w:rPr>
        <w:t xml:space="preserve">Burri Mira</w:t>
      </w:r>
      <w:r>
        <w:rPr/>
        <w:t xml:space="preserve">, The International Economic Law Framework for Digital Trade, NCCR Trade Regulation Working Paper, 2015/08, 2015</w:t>
      </w:r>
    </w:p>
    <w:p>
      <w:pPr>
        <w:spacing w:after="240" w:line="240" w:lineRule="atLeast"/>
      </w:pPr>
      <w:r>
        <w:rPr>
          <w:smallCaps w:val="1"/>
          <w:caps w:val="0"/>
        </w:rPr>
        <w:t xml:space="preserve">Burri Mira</w:t>
      </w:r>
      <w:r>
        <w:rPr/>
        <w:t xml:space="preserve">, Business as Usual? An Appraisal of the Implementation of the UNESCO Convention on Cultural Diversity into EU’s Media Law and Policies, NCCR Trade Regulation Working Paper, 2012/33, 2012, https://ssrn.com/abstract=2271034</w:t>
      </w:r>
    </w:p>
    <w:p>
      <w:pPr>
        <w:spacing w:after="240" w:line="240" w:lineRule="atLeast"/>
      </w:pPr>
      <w:r>
        <w:rPr>
          <w:smallCaps w:val="1"/>
          <w:caps w:val="0"/>
        </w:rPr>
        <w:t xml:space="preserve">Burri Mira</w:t>
      </w:r>
      <w:r>
        <w:rPr/>
        <w:t xml:space="preserve">, Enquiry into the Notion of Cultural Protectionism in the Media and its Dimensions in Cyberspace, NCCR Trade Regulation Working Paper, 03, 2011, https://ssrn.com/abstract=1777040</w:t>
      </w:r>
    </w:p>
    <w:p>
      <w:pPr>
        <w:spacing w:after="240" w:line="240" w:lineRule="atLeast"/>
      </w:pPr>
      <w:r>
        <w:rPr>
          <w:smallCaps w:val="1"/>
          <w:caps w:val="0"/>
        </w:rPr>
        <w:t xml:space="preserve">Burri Mira</w:t>
      </w:r>
      <w:r>
        <w:rPr/>
        <w:t xml:space="preserve">, Cultural Diversity and the EC Audiovisual Media Services Directive: Beyond the Handsome Rhetoric, NCCR Trade Regulation Working Paper, 2009/09, 2009, https://papers.ssrn.com/sol3/papers.cfm?abstract_id=1370439</w:t>
      </w:r>
    </w:p>
    <w:p>
      <w:pPr>
        <w:spacing w:after="240" w:line="240" w:lineRule="atLeast"/>
      </w:pPr>
      <w:r>
        <w:rPr>
          <w:smallCaps w:val="1"/>
          <w:caps w:val="0"/>
        </w:rPr>
        <w:t xml:space="preserve">Burri Mira</w:t>
      </w:r>
      <w:r>
        <w:rPr/>
        <w:t xml:space="preserve">, Trade and Culture: Keep the Border Fuzzy, please!, NCCR Trade Regulation Working Paper, 2009/2, 2009, https://papers.ssrn.com/sol3/papers.cfm?abstract_id=1334098</w:t>
      </w:r>
    </w:p>
    <w:p>
      <w:pPr>
        <w:spacing w:after="240" w:line="240" w:lineRule="atLeast"/>
      </w:pPr>
      <w:r>
        <w:rPr>
          <w:smallCaps w:val="1"/>
          <w:caps w:val="0"/>
        </w:rPr>
        <w:t xml:space="preserve">Burri Mira</w:t>
      </w:r>
      <w:r>
        <w:rPr/>
        <w:t xml:space="preserve">, Regulatory Objectives for Contemporary Electronic Communications: Talking Business or Talking Culture?, NCCR Trade Regulation Working Paper, 2006/09, 2006, https://papers.ssrn.com/sol3/papers.cfm?abstract_id=1321375</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Mira Burri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Mira Burri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