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Mike Schumacher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Schumacher Mike</w:t>
      </w:r>
      <w:r>
        <w:rPr/>
        <w:t xml:space="preserve">, Arbeitsrechtlicher Persönlichkeitsschutz bei Verletzungen durch betriebsfremde Dritte, Luzerner Beiträge zur Rechtswissenschaft, Bd. 183, Zürich/Genf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Klett Barbara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Prozessuale Herausforderungen rund um einen Bergunfall, in: HAVE - Haftung und Versicherung 3/2024, S. 281–284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Schumacher Mike</w:t>
      </w:r>
      <w:r>
        <w:rPr/>
        <w:t xml:space="preserve">, Der Anspruch der Arbeitnehmerin auf Ersatz entstandener Anwaltskosten, Das Urteil des BVGer A-2968/2022 vom 15. März 2024, in: Jusletter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Schumacher Mike</w:t>
      </w:r>
      <w:r>
        <w:rPr/>
        <w:t xml:space="preserve">, Durchgriff in der Betriebshaftpflichtversicherung, Wenn die Einpersonen-AG die Alleinaktionärin schädigt, in: HAVE - Haftung und Versicherung 3/2022, S. 239–246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Die privatrechtliche Rechtsprechung des Bundesgerichts im Jahr 2021, Personenrecht, in: ZBJV 158/2022, S. 231–237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Schumacher Mike</w:t>
      </w:r>
      <w:r>
        <w:rPr/>
        <w:t xml:space="preserve">, Verteidigungskosten des Arbeitnehmers, Zu BGer 4A_124/2022 vom 23. August 2022 und darüber hinaus, in: Jusletter vom 12. Dezember 2022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Schumacher Mike</w:t>
      </w:r>
      <w:r>
        <w:rPr/>
        <w:t xml:space="preserve">, Unfall von Selbständigen: privatversicherungsrechtliche Aspekte, in: Hürzeler, Marc/Krauskopf, Frédéric (Hrsg.), Personen-Schaden-Forum 2025, Personen-Schaden-Forum 2025, Zürich 2025, S. 61–85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Schumacher Mike</w:t>
      </w:r>
      <w:r>
        <w:rPr/>
        <w:t xml:space="preserve">, Personenrecht: Die privatrechtliche Rechtsprechung des Bundesgerichts im Jahr 2021, in: ZBJV 2022, S. 231–237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Mike Schumacher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Mike Schumacher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