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Ass.-Prof. Dr. iur. Melanie Huber-Lehmann</w:t>
      </w:r>
    </w:p>
    <w:p>
      <w:pPr>
        <w:spacing w:after="240" w:line="240" w:lineRule="atLeast"/>
      </w:pPr>
      <w:r>
        <w:t xml:space="preserve"/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 als Monografie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Huber-Lehmann Melanie</w:t>
      </w:r>
      <w:r>
        <w:rPr/>
        <w:t xml:space="preserve">, Die Streitverkündungsklage nach der Schweizerischen Zivilprozessordnung, Diss. Freiburg, Zürich/St. Gallen 2018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Huber-Lehmann Melanie</w:t>
      </w:r>
      <w:r>
        <w:rPr/>
        <w:t xml:space="preserve">, Wer hat das letzte Wort? Wenn das unbedingte Replikrecht auf das Novenrecht trifft, in: ZBJV 12/2025, S. 731–753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Huber-Lehmann Melanie</w:t>
      </w:r>
      <w:r>
        <w:rPr/>
        <w:t xml:space="preserve">, Änderungen der ZPO per 1. Januar 2025, Eine Übersicht, in: Schweizerische Zeitschrift für Zivilprozess- und Zwangsvollstreckungsrecht (ZZZ) 68/2024, S. 317–340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Huber-Lehmann Melanie</w:t>
      </w:r>
      <w:r>
        <w:rPr/>
        <w:t xml:space="preserve">/</w:t>
      </w:r>
      <w:r>
        <w:rPr>
          <w:smallCaps w:val="1"/>
          <w:caps w:val="0"/>
        </w:rPr>
        <w:t xml:space="preserve">Markus Alexander</w:t>
      </w:r>
      <w:r>
        <w:rPr/>
        <w:t xml:space="preserve">, Erteilung und Entzug der Vollstreckbarkeit, Zuständigkeit de lege lata und de lege ferenda, in: Aktuelle Juristische Praxis (AJP/PJA) 12/2020, S. 1555–1569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Huber-Lehmann Melanie</w:t>
      </w:r>
      <w:r>
        <w:rPr/>
        <w:t xml:space="preserve">, Tücken der eventuellen Klagenhäufung, in: Aktuelle Juristische Praxis (AJP/PJA) 9/2019, S. 900–912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Huber-Lehmann Melanie</w:t>
      </w:r>
      <w:r>
        <w:rPr/>
        <w:t xml:space="preserve">/</w:t>
      </w:r>
      <w:r>
        <w:rPr>
          <w:smallCaps w:val="1"/>
          <w:caps w:val="0"/>
        </w:rPr>
        <w:t xml:space="preserve">Conrad Zina</w:t>
      </w:r>
      <w:r>
        <w:rPr/>
        <w:t xml:space="preserve">, Streitgegenstand und gehäufte Teilklage unter dem Blickwinkel der jüngsten bundesgerichtlichen Rechtsprechung, in: Schweizerische Zeitschrift für Zivilprozess- und Zwangsvollstreckungsrecht (ZZZ) 43/2018, S. 254–263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Huber-Lehmann Melanie</w:t>
      </w:r>
      <w:r>
        <w:rPr/>
        <w:t xml:space="preserve">, Haftpflichtprozesse aufgrund von Menschenrechtsverletzungen im Ausland, Prozessuale Hürden der Konzernverantwortungsinitiative, in: Jusletter 20.08.2018/2018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Huber-Lehmann Melanie</w:t>
      </w:r>
      <w:r>
        <w:rPr/>
        <w:t xml:space="preserve">/</w:t>
      </w:r>
      <w:r>
        <w:rPr>
          <w:smallCaps w:val="1"/>
          <w:caps w:val="0"/>
        </w:rPr>
        <w:t xml:space="preserve">Markus Alexander</w:t>
      </w:r>
      <w:r>
        <w:rPr/>
        <w:t xml:space="preserve">, Zivilprozessuale Grundsätze der Sachverhaltsermittlung – Substantiierung und richterliche Fragepflicht, in: Zeitschrift des Bernischen Juristenvereins (ZBJV) 154/2018, S. 269–296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Huber-Lehmann Melanie</w:t>
      </w:r>
      <w:r>
        <w:rPr/>
        <w:t xml:space="preserve">, Neue Haftungsordnung für Revisionsstellen – Aufhebung der Solidarität?, in: Zeitschrift für Gesellschafts- und Kapitalmarktrecht (GesKR) 3/2017, S. 333–341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Huber-Lehmann Melanie</w:t>
      </w:r>
      <w:r>
        <w:rPr/>
        <w:t xml:space="preserve">, Streitverkündungsklage und Prozessökonomie, in: Schweizerische Zeitschrift für Zivilprozessrecht (SZZP) 6/2016, S. 549–556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Huber-Lehmann Melanie</w:t>
      </w:r>
      <w:r>
        <w:rPr/>
        <w:t xml:space="preserve">, Die Bezifferung der Streitverkündungsklage, Bemerkungen zum Urteil des Bundesgerichts 4A_375/2015 vom 26.01.2016, in: Jusletter 30.05.2016/2016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Buchkapitel, Beitrag in Sammelband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Huber-Lehmann Melanie</w:t>
      </w:r>
      <w:r>
        <w:rPr/>
        <w:t xml:space="preserve">, Komplexe Verfahren: Objektive und subjektive Klagenhäufung, Widerklage und Streitverkündungsklage, in: Eichel, Florian/Hurni, Christoph/Markus, Alexander R. (Hrsg.), Knackpunkte der ZPO-Revision, Zuständigkeit, Novenrecht und komplexe Verfahren, Bern 2025, S. 69 ff. ff.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Huber-Lehmann Melanie</w:t>
      </w:r>
      <w:r>
        <w:rPr/>
        <w:t xml:space="preserve">, Erteilung und Entzug der Vollstreckbarkeit zwischen Entscheideröffnung und Ergreifung eines Rechtsmittels, Tagung zu Ehren von Jürgen Brönnimann, CIVPRO 16, in: Eichel, Florian/Hurni, Christoph/Markus, Alexander R. (Hrsg.), Zehn Jahre ZPO – Zwischenstand und Perspektiven, Bern 2022, S. 55–80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Huber-Lehmann Melanie</w:t>
      </w:r>
      <w:r>
        <w:rPr/>
        <w:t xml:space="preserve">, Stolpersteine des Rechtsöffnungsverfahrens, CIVPRO 15, in: Eichel, Florian/Hurni, Christoph/Markus, Alexander R. (Hrsg.), Schneller Weg zum Recht, Praktische Herausforderungen ausgewählter Summarverfahren, Bern 2020, S. 27–56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Huber-Lehmann Melanie</w:t>
      </w:r>
      <w:r>
        <w:rPr/>
        <w:t xml:space="preserve">, Erfordernis der Kausalität beim Verbrauchergerichtsstand nach Art. 15 Ziff. 1 lit. c LugÜ, in: Markus, Alexander R./Hrubesch-Millauer, Stephanie/Rodriguez, Rodrigo (Hrsg.), Zivilprozess und Vollstreckung, national und international – Schnittstellen und Vergleiche, Festschrift für Jolanta Kren Kostkiewicz, Bern 2018, S. 133–159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Rezension, Editorial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Huber-Lehmann Melanie</w:t>
      </w:r>
      <w:r>
        <w:rPr/>
        <w:t xml:space="preserve">, Besprechung von Sejee Phurtag, Vorsorgliche Massnahmen im internationalen Zivilprozessrecht, unter besonderer Berücksichtigung des schweizerischen und des englischen Rechts, Diss. Bern 2019, in: Schweizerische Zeitschrift für Zivilprozess- und Zwangsvollstreckungsrecht (ZZZ) 56/2021, S. 797–798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Urteilsbesprechung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Huber-Lehmann Melanie</w:t>
      </w:r>
      <w:r>
        <w:rPr/>
        <w:t xml:space="preserve">/</w:t>
      </w:r>
      <w:r>
        <w:rPr>
          <w:smallCaps w:val="1"/>
          <w:caps w:val="0"/>
        </w:rPr>
        <w:t xml:space="preserve">Markus Alexander</w:t>
      </w:r>
      <w:r>
        <w:rPr/>
        <w:t xml:space="preserve">, Rechtsprechung zum Lugano-Übereinkommen (2025), 2026, S. 269–296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Huber-Lehmann Melanie</w:t>
      </w:r>
      <w:r>
        <w:rPr/>
        <w:t xml:space="preserve">/</w:t>
      </w:r>
      <w:r>
        <w:rPr>
          <w:smallCaps w:val="1"/>
          <w:caps w:val="0"/>
        </w:rPr>
        <w:t xml:space="preserve">Markus Alexander</w:t>
      </w:r>
      <w:r>
        <w:rPr/>
        <w:t xml:space="preserve">, Rechtsprechung zum Lugano-Übereinkommen (2024), in: Swiss Review of International and European Law (SRIEL) 35/2025, S. 109–141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Huber-Lehmann Melanie</w:t>
      </w:r>
      <w:r>
        <w:rPr/>
        <w:t xml:space="preserve">/</w:t>
      </w:r>
      <w:r>
        <w:rPr>
          <w:smallCaps w:val="1"/>
          <w:caps w:val="0"/>
        </w:rPr>
        <w:t xml:space="preserve">Markus Alexander</w:t>
      </w:r>
      <w:r>
        <w:rPr/>
        <w:t xml:space="preserve">, Rechtsprechung zum Lugano-Übereinkommen (2023), in: Swiss Review of International and European Law (SRIEL) 34/2024, S. 115–137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Huber-Lehmann Melanie</w:t>
      </w:r>
      <w:r>
        <w:rPr/>
        <w:t xml:space="preserve">/</w:t>
      </w:r>
      <w:r>
        <w:rPr>
          <w:smallCaps w:val="1"/>
          <w:caps w:val="0"/>
        </w:rPr>
        <w:t xml:space="preserve">Markus Alexander</w:t>
      </w:r>
      <w:r>
        <w:rPr/>
        <w:t xml:space="preserve">, Rechtsprechung zum Lugano-Übereinkommen (2022), in: Swiss Review of International and European Law (SRIEL) 33/2023, S. 143–178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Markus Alexander</w:t>
      </w:r>
      <w:r>
        <w:rPr/>
        <w:t xml:space="preserve">/</w:t>
      </w:r>
      <w:r>
        <w:rPr>
          <w:smallCaps w:val="1"/>
          <w:caps w:val="0"/>
        </w:rPr>
        <w:t xml:space="preserve">Huber-Lehmann Melanie</w:t>
      </w:r>
      <w:r>
        <w:rPr/>
        <w:t xml:space="preserve">/</w:t>
      </w:r>
      <w:r>
        <w:rPr>
          <w:smallCaps w:val="1"/>
          <w:caps w:val="0"/>
        </w:rPr>
        <w:t xml:space="preserve">Ruprecht Ivan</w:t>
      </w:r>
      <w:r>
        <w:rPr/>
        <w:t xml:space="preserve">, Rechtsprechung zum Lugano-Übereinkommen (2021), in: Swiss Review of International and European Law (SRIEL) 32/2022, S. 259–315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Huber-Lehmann Melanie</w:t>
      </w:r>
      <w:r>
        <w:rPr/>
        <w:t xml:space="preserve">, Bemerkungen zu BGer 4A_529/2020 vom 22. Dezember 2020, zu BGer 4A_351/2020 vom 13. Oktober 2020 und zu BGer 5A_434/2020 vom 17. November 2020, in: Schweizerische Zeitschrift für Zivilprozess- und Zwangsvollstreckungsrecht (ZZZ) 53/2021, S. 416, 422, 426–427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Schwander Ivo</w:t>
      </w:r>
      <w:r>
        <w:rPr/>
        <w:t xml:space="preserve">/</w:t>
      </w:r>
      <w:r>
        <w:rPr>
          <w:smallCaps w:val="1"/>
          <w:caps w:val="0"/>
        </w:rPr>
        <w:t xml:space="preserve">Huber-Lehmann Melanie</w:t>
      </w:r>
      <w:r>
        <w:rPr/>
        <w:t xml:space="preserve">, Bemerkungen zu BGer 4A_19/2020 vom 19. August 2020, zu BGer 4A_502/2019 vom 15. Juni 2020, zu BGer 4A_180/2020 vom 6. Juli 2020 und zu BGer 4A_83/2020 vom 16. Juli 2020 (mit Ivo Schwander), in: Schweizerische Zeitschrift für Zivilprozess- und Zwangsvollstreckungsrecht (ZZZ) 52/2020, S. 330, 331, 337, 346, 352 ff.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Schwander Ivo</w:t>
      </w:r>
      <w:r>
        <w:rPr/>
        <w:t xml:space="preserve">/</w:t>
      </w:r>
      <w:r>
        <w:rPr>
          <w:smallCaps w:val="1"/>
          <w:caps w:val="0"/>
        </w:rPr>
        <w:t xml:space="preserve">Huber-Lehmann Melanie</w:t>
      </w:r>
      <w:r>
        <w:rPr/>
        <w:t xml:space="preserve">, Bemerkungen zu BGer 4A_203/2019 vom 11. Mai 2020, zu BGer 5A_1018/2019 vom 16. Juni 2020, zu BGer 4A_85/2020 vom 20. Mai 2020, zu BGer 5A_366/2019 vom 19. Juni 2020, zu BGer 5A_79/2019 vom 21. November 2019 und zu BGer 5A_714/2019 vom 3. Juni 2020 (mit Ivo Schwander), in: Schweizerische Zeitschrift für Zivilprozess- und Zwangsvollstreckungsrecht (ZZZ) 51/2020, S. 270, 271, 273–280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Huber-Lehmann Melanie</w:t>
      </w:r>
      <w:r>
        <w:rPr/>
        <w:t xml:space="preserve">/</w:t>
      </w:r>
      <w:r>
        <w:rPr>
          <w:smallCaps w:val="1"/>
          <w:caps w:val="0"/>
        </w:rPr>
        <w:t xml:space="preserve">Markus Alexander</w:t>
      </w:r>
      <w:r>
        <w:rPr/>
        <w:t xml:space="preserve">, Rechtsprechung zum Lugano-Übereinkommen (2019), in: Swiss Review of International and European Law (SRIEL) 30/2020, S. 295–334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Huber-Lehmann Melanie</w:t>
      </w:r>
      <w:r>
        <w:rPr/>
        <w:t xml:space="preserve">, Note zu BGer 4A_442/2017 vom 28. August 2018, in: Schweizerische Zeitschrift für Zivilprozessrecht (SZZP) 6/2018, S. 483–484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Huber-Lehmann Melanie</w:t>
      </w:r>
      <w:r>
        <w:rPr/>
        <w:t xml:space="preserve">/</w:t>
      </w:r>
      <w:r>
        <w:rPr>
          <w:smallCaps w:val="1"/>
          <w:caps w:val="0"/>
        </w:rPr>
        <w:t xml:space="preserve">Markus Alexander</w:t>
      </w:r>
      <w:r>
        <w:rPr/>
        <w:t xml:space="preserve">, Rechtsprechung zum Lugano-Übereinkommen (2017), in: Swiss Review of International and European Law (SRIEL) 28/2018, S. 75–109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Markus Alexander</w:t>
      </w:r>
      <w:r>
        <w:rPr/>
        <w:t xml:space="preserve">/</w:t>
      </w:r>
      <w:r>
        <w:rPr>
          <w:smallCaps w:val="1"/>
          <w:caps w:val="0"/>
        </w:rPr>
        <w:t xml:space="preserve">Huber-Lehmann Melanie</w:t>
      </w:r>
      <w:r>
        <w:rPr/>
        <w:t xml:space="preserve">, Note zu BGer 4A_229/2017 vom 7. Dezember 2017, in: Schweizerische Zeitschrift für Zivilprozessrecht (SZZP) 2/2018, S. 91–92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Ass.-Prof. Dr. iur. Melanie Huber-Lehmann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Ass.-Prof. Dr. iur. Melanie Huber-Lehmann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