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LL.M. Martina Caroni</w:t>
      </w:r>
    </w:p>
    <w:p>
      <w:pPr>
        <w:spacing w:after="240" w:line="240" w:lineRule="atLeast"/>
      </w:pPr>
      <w:r>
        <w:t xml:space="preserve">ORCID: 0009-0001-1203-5839</w:t>
      </w:r>
    </w:p>
    <w:p>
      <w:pPr>
        <w:spacing w:after="240" w:line="240" w:lineRule="atLeast"/>
        <w:rPr>
          <w:b/>
          <w:bCs/>
        </w:rPr>
      </w:pPr>
      <w:r>
        <w:rPr>
          <w:b/>
          <w:bCs/>
        </w:rPr>
        <w:t xml:space="preserve">Buch als Monografie</w:t>
      </w:r>
    </w:p>
    <w:p>
      <w:pPr>
        <w:spacing w:after="240" w:line="240" w:lineRule="atLeast"/>
      </w:pPr>
      <w:r>
        <w:rPr>
          <w:smallCaps w:val="1"/>
          <w:caps w:val="0"/>
        </w:rPr>
        <w:t xml:space="preserve">Caroni Martina</w:t>
      </w:r>
      <w:r>
        <w:rPr/>
        <w:t xml:space="preserve">, Geld und Politik - Die Finanzierung politischer Kampagnen im Spannungsfeld von Verfassung, Demokratie und politischem Willen, Bern 2009</w:t>
      </w:r>
    </w:p>
    <w:p>
      <w:pPr>
        <w:spacing w:after="240" w:line="240" w:lineRule="atLeast"/>
      </w:pPr>
      <w:r>
        <w:rPr>
          <w:smallCaps w:val="1"/>
          <w:caps w:val="0"/>
        </w:rPr>
        <w:t xml:space="preserve">Caroni Martina</w:t>
      </w:r>
      <w:r>
        <w:rPr/>
        <w:t xml:space="preserve">, Privat- und Familienleben zwischen Menschenrecht und Migration - Eine Untersuchung zu Bedeutung, Rechtsprechung und Möglichkeiten von Art. 8 EMRK im Ausländerrecht, Bd. 58, Berlin 1999</w:t>
      </w:r>
    </w:p>
    <w:p>
      <w:pPr>
        <w:spacing w:after="240" w:line="240" w:lineRule="atLeast"/>
      </w:pPr>
      <w:r>
        <w:rPr>
          <w:smallCaps w:val="1"/>
          <w:caps w:val="0"/>
        </w:rPr>
        <w:t xml:space="preserve">Caroni Martina</w:t>
      </w:r>
      <w:r>
        <w:rPr/>
        <w:t xml:space="preserve">, Tänzerinnen und Heiratsmigrantinnen - Rechtliche Aspekte des Frauenhandels in der Schweiz, Luzern 1996</w:t>
      </w:r>
    </w:p>
    <w:p>
      <w:pPr>
        <w:spacing w:after="240" w:line="240" w:lineRule="atLeast"/>
        <w:rPr>
          <w:b/>
          <w:bCs/>
        </w:rPr>
      </w:pPr>
      <w:r>
        <w:rPr>
          <w:b/>
          <w:bCs/>
        </w:rPr>
        <w:t xml:space="preserve">Lehrbuch</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w:t>
      </w:r>
      <w:r>
        <w:rPr>
          <w:smallCaps w:val="1"/>
          <w:caps w:val="0"/>
        </w:rPr>
        <w:t xml:space="preserve">Preisig Christa</w:t>
      </w:r>
      <w:r>
        <w:rPr/>
        <w:t xml:space="preserve">/</w:t>
      </w:r>
      <w:r>
        <w:rPr>
          <w:smallCaps w:val="1"/>
          <w:caps w:val="0"/>
        </w:rPr>
        <w:t xml:space="preserve">Plozza Monika</w:t>
      </w:r>
      <w:r>
        <w:rPr/>
        <w:t xml:space="preserve">, Migrationsrecht, Stämpflis juristische Lehrbücher, 5. Auflage, Bern 2022</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w:t>
      </w:r>
      <w:r>
        <w:rPr>
          <w:smallCaps w:val="1"/>
          <w:caps w:val="0"/>
        </w:rPr>
        <w:t xml:space="preserve">Pirker Benedikt</w:t>
      </w:r>
      <w:r>
        <w:rPr/>
        <w:t xml:space="preserve">, Völkerrecht, Eine Einführung, 5. Auflage, Bern 2022</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w:t>
      </w:r>
      <w:r>
        <w:rPr>
          <w:smallCaps w:val="1"/>
          <w:caps w:val="0"/>
        </w:rPr>
        <w:t xml:space="preserve">Preisig Christa</w:t>
      </w:r>
      <w:r>
        <w:rPr/>
        <w:t xml:space="preserve">/</w:t>
      </w:r>
      <w:r>
        <w:rPr>
          <w:smallCaps w:val="1"/>
          <w:caps w:val="0"/>
        </w:rPr>
        <w:t xml:space="preserve">Zoeteweij Margarite Helena</w:t>
      </w:r>
      <w:r>
        <w:rPr/>
        <w:t xml:space="preserve">, Migrationsrecht, Stämpflis juristische Lehrbücher, 4. Auflage, Bern 2018</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4. Auflage, Bern 2016</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w:t>
      </w:r>
      <w:r>
        <w:rPr>
          <w:smallCaps w:val="1"/>
          <w:caps w:val="0"/>
        </w:rPr>
        <w:t xml:space="preserve">Scheiber Nicole</w:t>
      </w:r>
      <w:r>
        <w:rPr/>
        <w:t xml:space="preserve">, Migrationsrecht, 3. Auflage, Bern 2014</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 Migrationsrecht, 2. Auflage, Bern 2011</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3. Auflage, Bern 2010</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 Migrationsrecht, Bern 2009</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2. Auflage, Bern 2006</w:t>
      </w:r>
    </w:p>
    <w:p>
      <w:pPr>
        <w:spacing w:after="240" w:line="240" w:lineRule="atLeast"/>
        <w:rPr>
          <w:b/>
          <w:bCs/>
        </w:rPr>
      </w:pPr>
      <w:r>
        <w:rPr>
          <w:b/>
          <w:bCs/>
        </w:rPr>
        <w:t xml:space="preserve">Zeitschriftenartikel</w:t>
      </w:r>
    </w:p>
    <w:p>
      <w:pPr>
        <w:spacing w:after="240" w:line="240" w:lineRule="atLeast"/>
      </w:pPr>
      <w:r>
        <w:rPr>
          <w:smallCaps w:val="1"/>
          <w:caps w:val="0"/>
        </w:rPr>
        <w:t xml:space="preserve">Caroni Martina</w:t>
      </w:r>
      <w:r>
        <w:rPr/>
        <w:t xml:space="preserve">, Menschenrechte im Gegenwind: Europäische Gerichte und die ambivalente Migrationsarchitektur an den Aussengrenzen, in: Zeitschrift für Europarecht - EuZ 04/2026, S. 2–42, https://doi.org/10.36862/6GTK-0CHS</w:t>
      </w:r>
    </w:p>
    <w:p>
      <w:pPr>
        <w:spacing w:after="240" w:line="240" w:lineRule="atLeast"/>
      </w:pPr>
      <w:r>
        <w:rPr>
          <w:smallCaps w:val="1"/>
          <w:caps w:val="0"/>
        </w:rPr>
        <w:t xml:space="preserve">Caroni Martina</w:t>
      </w:r>
      <w:r>
        <w:rPr/>
        <w:t xml:space="preserve">/</w:t>
      </w:r>
      <w:r>
        <w:rPr>
          <w:smallCaps w:val="1"/>
          <w:caps w:val="0"/>
        </w:rPr>
        <w:t xml:space="preserve">Rast Fabienne</w:t>
      </w:r>
      <w:r>
        <w:rPr/>
        <w:t xml:space="preserve">, EU-Pakt zu Asyl- und Migration / Le Pacte européen sur la migration et l’asile, Sicherheit statt Rechtsschutz: Die Screening-Verordnung und ihre Umsetzung in der Schweiz, in: Schweizerische Zeitschrift für Asylrecht und -praxis 2026</w:t>
      </w:r>
    </w:p>
    <w:p>
      <w:pPr>
        <w:spacing w:after="240" w:line="240" w:lineRule="atLeast"/>
      </w:pPr>
      <w:r>
        <w:rPr>
          <w:smallCaps w:val="1"/>
          <w:caps w:val="0"/>
        </w:rPr>
        <w:t xml:space="preserve">Caroni Martina</w:t>
      </w:r>
      <w:r>
        <w:rPr/>
        <w:t xml:space="preserve">, Kinder sind nicht "Gepäckstücke" ihrer Eltern!, in: terra cognita 40/2024, S. 42–44</w:t>
      </w:r>
    </w:p>
    <w:p>
      <w:pPr>
        <w:spacing w:after="240" w:line="240" w:lineRule="atLeast"/>
      </w:pPr>
      <w:r>
        <w:rPr>
          <w:smallCaps w:val="1"/>
          <w:caps w:val="0"/>
        </w:rPr>
        <w:t xml:space="preserve">Caroni Martina</w:t>
      </w:r>
      <w:r>
        <w:rPr/>
        <w:t xml:space="preserve">, Statuto di protezione attivato dal Consiglio federale, in: iride 12/2022, S. 6–7</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Aktuelle Rechtsprechung zum Refoulementverbot für vulnerable Personen, in: ASYL 4/2021, S. 5–12</w:t>
      </w:r>
    </w:p>
    <w:p>
      <w:pPr>
        <w:spacing w:after="240" w:line="240" w:lineRule="atLeast"/>
      </w:pPr>
      <w:r>
        <w:rPr>
          <w:smallCaps w:val="1"/>
          <w:caps w:val="0"/>
        </w:rPr>
        <w:t xml:space="preserve">Caroni Martina</w:t>
      </w:r>
      <w:r>
        <w:rPr/>
        <w:t xml:space="preserve">, La Convenzione sullo statuto dei rifugiati, la Svizzera e la legge svizzera sull’asilo, in: terra cognita 34/2019, S. 22–24</w:t>
      </w:r>
    </w:p>
    <w:p>
      <w:pPr>
        <w:spacing w:after="240" w:line="240" w:lineRule="atLeast"/>
      </w:pPr>
      <w:r>
        <w:rPr>
          <w:smallCaps w:val="1"/>
          <w:caps w:val="0"/>
        </w:rPr>
        <w:t xml:space="preserve">Caroni Martina</w:t>
      </w:r>
      <w:r>
        <w:rPr/>
        <w:t xml:space="preserve">, Das neue Asylverfahren - ein Überblick, in: recht - Zeitschrift für juristische Weiterbildung und Praxis 2/19/2019, S. 85–94</w:t>
      </w:r>
    </w:p>
    <w:p>
      <w:pPr>
        <w:spacing w:after="240" w:line="240" w:lineRule="atLeast"/>
      </w:pPr>
      <w:r>
        <w:rPr>
          <w:smallCaps w:val="1"/>
          <w:caps w:val="0"/>
        </w:rPr>
        <w:t xml:space="preserve">Caroni Martina</w:t>
      </w:r>
      <w:r>
        <w:rPr/>
        <w:t xml:space="preserve">, Personen aus dem Asylbereich und Sozialversicherungen - Schweizer weitgehend gleichgestellt, in: Schweizer Sozialversicherung 2/2017, S. 26–28</w:t>
      </w:r>
    </w:p>
    <w:p>
      <w:pPr>
        <w:spacing w:after="240" w:line="240" w:lineRule="atLeast"/>
      </w:pPr>
      <w:r>
        <w:rPr>
          <w:smallCaps w:val="1"/>
          <w:caps w:val="0"/>
        </w:rPr>
        <w:t xml:space="preserve">Caroni Martina</w:t>
      </w:r>
      <w:r>
        <w:rPr/>
        <w:t xml:space="preserve">, Kurzzusammenfassung des Rechtsgutachtens betreffend rechtliche Fragestellungen im Zusammenhang mit der Neustrukturierung im Asylbereich und der Beschleunigung im Asylverfahren, in: ASYL 2/16 2016, S. 28 ff.</w:t>
      </w:r>
    </w:p>
    <w:p>
      <w:pPr>
        <w:spacing w:after="240" w:line="240" w:lineRule="atLeast"/>
      </w:pPr>
      <w:r>
        <w:rPr>
          <w:smallCaps w:val="1"/>
          <w:caps w:val="0"/>
        </w:rPr>
        <w:t xml:space="preserve">Caroni Martina</w:t>
      </w:r>
      <w:r>
        <w:rPr/>
        <w:t xml:space="preserve">, Inländer, Ausländer, Staatsbürger - Wer gehört in der Schweiz dazu?, in: Österreichische Juristenkommission; Müller, Rudolf 2015, S. 42–65</w:t>
      </w:r>
    </w:p>
    <w:p>
      <w:pPr>
        <w:spacing w:after="240" w:line="240" w:lineRule="atLeast"/>
      </w:pPr>
      <w:r>
        <w:rPr>
          <w:smallCaps w:val="1"/>
          <w:caps w:val="0"/>
        </w:rPr>
        <w:t xml:space="preserve">Caroni Martina</w:t>
      </w:r>
      <w:r>
        <w:rPr/>
        <w:t xml:space="preserve">/</w:t>
      </w:r>
      <w:r>
        <w:rPr>
          <w:smallCaps w:val="1"/>
          <w:caps w:val="0"/>
        </w:rPr>
        <w:t xml:space="preserve">Taylan Maya</w:t>
      </w:r>
      <w:r>
        <w:rPr/>
        <w:t xml:space="preserve">, Zwingendes Völkerrecht - Der völkerrechtliche und der verfassungsrechtliche Begriff der zwingenden Bestimmungen des Völkerrechts, in: recht 2/2015 2015, S. 55–66</w:t>
      </w:r>
    </w:p>
    <w:p>
      <w:pPr>
        <w:spacing w:after="240" w:line="240" w:lineRule="atLeast"/>
      </w:pPr>
      <w:r>
        <w:rPr>
          <w:smallCaps w:val="1"/>
          <w:caps w:val="0"/>
        </w:rPr>
        <w:t xml:space="preserve">Caroni Martina</w:t>
      </w:r>
      <w:r>
        <w:rPr/>
        <w:t xml:space="preserve">, Inländerdiskriminierung am Beispiel des Familiennachzuges, in: recht 1/2014 2014, S. 37–48</w:t>
      </w:r>
    </w:p>
    <w:p>
      <w:pPr>
        <w:spacing w:after="240" w:line="240" w:lineRule="atLeast"/>
      </w:pPr>
      <w:r>
        <w:rPr>
          <w:smallCaps w:val="1"/>
          <w:caps w:val="0"/>
        </w:rPr>
        <w:t xml:space="preserve">Caroni Martina</w:t>
      </w:r>
      <w:r>
        <w:rPr/>
        <w:t xml:space="preserve">, Ricongiungimento familiare - Percorso fra diritti umani, pari opportunità e una politica d’ammissione restrittiva, in: terra cognita 24/2014 2014, S. 48–51</w:t>
      </w:r>
    </w:p>
    <w:p>
      <w:pPr>
        <w:spacing w:after="240" w:line="240" w:lineRule="atLeast"/>
      </w:pPr>
      <w:r>
        <w:rPr>
          <w:smallCaps w:val="1"/>
          <w:caps w:val="0"/>
        </w:rPr>
        <w:t xml:space="preserve">Caroni Martina</w:t>
      </w:r>
      <w:r>
        <w:rPr/>
        <w:t xml:space="preserve">, Anonymität statt Transparenz und Offenlegung, in: Jusletter vom 1. April 2013 2013, https://www.unilu.ch/fileadmin/shared/Publikationen/caroni_anonymitaet-statt-tranparenz-und-offenlegung_jusletter_01-04-2013.pdf</w:t>
      </w:r>
    </w:p>
    <w:p>
      <w:pPr>
        <w:spacing w:after="240" w:line="240" w:lineRule="atLeast"/>
      </w:pPr>
      <w:r>
        <w:rPr>
          <w:smallCaps w:val="1"/>
          <w:caps w:val="0"/>
        </w:rPr>
        <w:t xml:space="preserve">Caroni Martina</w:t>
      </w:r>
      <w:r>
        <w:rPr/>
        <w:t xml:space="preserve">, Herausforderung Demokratie, in: ZSR 132 II 2013, S. 5–93</w:t>
      </w:r>
    </w:p>
    <w:p>
      <w:pPr>
        <w:spacing w:after="240" w:line="240" w:lineRule="atLeast"/>
      </w:pPr>
      <w:r>
        <w:rPr>
          <w:smallCaps w:val="1"/>
          <w:caps w:val="0"/>
        </w:rPr>
        <w:t xml:space="preserve">Caroni Martina</w:t>
      </w:r>
      <w:r>
        <w:rPr/>
        <w:t xml:space="preserve">, Spracherwerb und Ehegattennachzug, in: ASYL 1/2012 2012, S. 23–24</w:t>
      </w:r>
    </w:p>
    <w:p>
      <w:pPr>
        <w:spacing w:after="240" w:line="240" w:lineRule="atLeast"/>
      </w:pPr>
      <w:r>
        <w:rPr>
          <w:smallCaps w:val="1"/>
          <w:caps w:val="0"/>
        </w:rPr>
        <w:t xml:space="preserve">Caroni Martina</w:t>
      </w:r>
      <w:r>
        <w:rPr/>
        <w:t xml:space="preserve">/</w:t>
      </w:r>
      <w:r>
        <w:rPr>
          <w:smallCaps w:val="1"/>
          <w:caps w:val="0"/>
        </w:rPr>
        <w:t xml:space="preserve">Schädler Simon</w:t>
      </w:r>
      <w:r>
        <w:rPr/>
        <w:t xml:space="preserve">, Lex Brunner und EMRK, in: ASYL 4/2011 2011, S. 23–26</w:t>
      </w:r>
    </w:p>
    <w:p>
      <w:pPr>
        <w:spacing w:after="240" w:line="240" w:lineRule="atLeast"/>
      </w:pPr>
      <w:r>
        <w:rPr>
          <w:smallCaps w:val="1"/>
          <w:caps w:val="0"/>
        </w:rPr>
        <w:t xml:space="preserve">Caroni Martina</w:t>
      </w:r>
      <w:r>
        <w:rPr/>
        <w:t xml:space="preserve">, Politische Partizipation im Interesse der Demokratie, in: terra cognita 17/2010 2010, S. 94–96</w:t>
      </w:r>
    </w:p>
    <w:p>
      <w:pPr>
        <w:spacing w:after="240" w:line="240" w:lineRule="atLeast"/>
      </w:pPr>
      <w:r>
        <w:rPr>
          <w:smallCaps w:val="1"/>
          <w:caps w:val="0"/>
        </w:rPr>
        <w:t xml:space="preserve">Caroni Martina</w:t>
      </w:r>
      <w:r>
        <w:rPr/>
        <w:t xml:space="preserve">/</w:t>
      </w:r>
      <w:r>
        <w:rPr>
          <w:smallCaps w:val="1"/>
          <w:caps w:val="0"/>
        </w:rPr>
        <w:t xml:space="preserve">Hofstetter Sandro</w:t>
      </w:r>
      <w:r>
        <w:rPr/>
        <w:t xml:space="preserve">, Flüchtlingsrechtliche und rechtsstaatliche Überlegungen zur geplanten Teilrevision betreffend Desertion und Dienstverweigerung, in: ASYL 3/2008 2008, S. 3–10</w:t>
      </w:r>
    </w:p>
    <w:p>
      <w:pPr>
        <w:spacing w:after="240" w:line="240" w:lineRule="atLeast"/>
      </w:pPr>
      <w:r>
        <w:rPr>
          <w:smallCaps w:val="1"/>
          <w:caps w:val="0"/>
        </w:rPr>
        <w:t xml:space="preserve">Ackermann Jürg-Beat</w:t>
      </w:r>
      <w:r>
        <w:rPr/>
        <w:t xml:space="preserve">/</w:t>
      </w:r>
      <w:r>
        <w:rPr>
          <w:smallCaps w:val="1"/>
          <w:caps w:val="0"/>
        </w:rPr>
        <w:t xml:space="preserve">Caroni Martina</w:t>
      </w:r>
      <w:r>
        <w:rPr/>
        <w:t xml:space="preserve">/</w:t>
      </w:r>
      <w:r>
        <w:rPr>
          <w:smallCaps w:val="1"/>
          <w:caps w:val="0"/>
        </w:rPr>
        <w:t xml:space="preserve">Vetterli Luzia</w:t>
      </w:r>
      <w:r>
        <w:rPr/>
        <w:t xml:space="preserve">, Anonyme Zeugenaussagen: Bundesgericht contra EGMR, in: AJP 2007, S. 1071–1082</w:t>
      </w:r>
    </w:p>
    <w:p>
      <w:pPr>
        <w:spacing w:after="240" w:line="240" w:lineRule="atLeast"/>
      </w:pPr>
      <w:r>
        <w:rPr>
          <w:smallCaps w:val="1"/>
          <w:caps w:val="0"/>
        </w:rPr>
        <w:t xml:space="preserve">Caroni Martina</w:t>
      </w:r>
      <w:r>
        <w:rPr/>
        <w:t xml:space="preserve">, Die Reform des Strassburger Beschwerdeverfahrens durch das 14. Protokoll zur EMRK: Gelungener Balanceakt oder doch bloss ein Etappenziel?, in: recht 2005, S. 109–120</w:t>
      </w:r>
    </w:p>
    <w:p>
      <w:pPr>
        <w:spacing w:after="240" w:line="240" w:lineRule="atLeast"/>
      </w:pPr>
      <w:r>
        <w:rPr>
          <w:smallCaps w:val="1"/>
          <w:caps w:val="0"/>
        </w:rPr>
        <w:t xml:space="preserve">Caroni Martina</w:t>
      </w:r>
      <w:r>
        <w:rPr/>
        <w:t xml:space="preserve">, Das Weltrechts- oder Universalitätsprinzip - Internationale oder innerstaatliche Bestrafung für völkerrechtliche Delikte, in: humanrights.ch 2/2003 2003, S. 3</w:t>
      </w:r>
    </w:p>
    <w:p>
      <w:pPr>
        <w:spacing w:after="240" w:line="240" w:lineRule="atLeast"/>
      </w:pPr>
      <w:r>
        <w:rPr>
          <w:smallCaps w:val="1"/>
          <w:caps w:val="0"/>
        </w:rPr>
        <w:t xml:space="preserve">Caroni Martina</w:t>
      </w:r>
      <w:r>
        <w:rPr/>
        <w:t xml:space="preserve">, Rücksichtsloses Rechnen (Editorial), in: humanrights.ch 3/2003 2003, S. 1 ff.</w:t>
      </w:r>
    </w:p>
    <w:p>
      <w:pPr>
        <w:spacing w:after="240" w:line="240" w:lineRule="atLeast"/>
      </w:pPr>
      <w:r>
        <w:rPr>
          <w:smallCaps w:val="1"/>
          <w:caps w:val="0"/>
        </w:rPr>
        <w:t xml:space="preserve">Caroni Martina</w:t>
      </w:r>
      <w:r>
        <w:rPr/>
        <w:t xml:space="preserve">, Die Reform der Wahlkampffinanzierung in den Vereinigten Staaten - von der positiven Wirkung eines Skandals, in: Jusletter 2002</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 Homosexuelle und heterosexuelle Konkubinatspaare im schweizerischen Ausländerrecht, in: SZIER 1/2001, S. 125–141</w:t>
      </w:r>
    </w:p>
    <w:p>
      <w:pPr>
        <w:spacing w:after="240" w:line="240" w:lineRule="atLeast"/>
      </w:pPr>
      <w:r>
        <w:rPr>
          <w:smallCaps w:val="1"/>
          <w:caps w:val="0"/>
        </w:rPr>
        <w:t xml:space="preserve">Caroni Martina</w:t>
      </w:r>
      <w:r>
        <w:rPr/>
        <w:t xml:space="preserve">, Familiennachzug für Flüchtlinge und Schutzbedürftige - unter besonderer Berücksichtigung des neuen schweizerischen Asylgesetzes, in: AWR-Bulletin 4/1999, S. 158–165</w:t>
      </w:r>
    </w:p>
    <w:p>
      <w:pPr>
        <w:spacing w:after="240" w:line="240" w:lineRule="atLeast"/>
      </w:pPr>
      <w:r>
        <w:rPr>
          <w:smallCaps w:val="1"/>
          <w:caps w:val="0"/>
        </w:rPr>
        <w:t xml:space="preserve">Caroni Martina</w:t>
      </w:r>
      <w:r>
        <w:rPr/>
        <w:t xml:space="preserve">/</w:t>
      </w:r>
      <w:r>
        <w:rPr>
          <w:smallCaps w:val="1"/>
          <w:caps w:val="0"/>
        </w:rPr>
        <w:t xml:space="preserve">Kälin Walter</w:t>
      </w:r>
      <w:r>
        <w:rPr/>
        <w:t xml:space="preserve">, Das verfassungsrechtliche Verbot der Diskriminierung wegen der ethnisch-kulturellen Herkunft, in: ZSR Beiheft 28/1999, S. 67–94</w:t>
      </w:r>
    </w:p>
    <w:p>
      <w:pPr>
        <w:spacing w:after="240" w:line="240" w:lineRule="atLeast"/>
      </w:pPr>
      <w:r>
        <w:rPr>
          <w:smallCaps w:val="1"/>
          <w:caps w:val="0"/>
        </w:rPr>
        <w:t xml:space="preserve">Caroni Martina</w:t>
      </w:r>
      <w:r>
        <w:rPr/>
        <w:t xml:space="preserve">, Aufenthaltsrechtliche Probleme von Migrantinnen in der Schweiz, in: F-Frauenfragen (Zeitschrift der Eidgenössischen Kommission für Frauenfragen) 2/1999, S. 36–43</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von Rütte, Barbara/Amarelle, Cesla/Boiler, Véronique/Caroni, Martina/Epiney, Astrid/Müller, Andreas Th. (Hrsg.), Jahrbuch für Migrationsrecht 2025/2026, Bern 2026, S. 403–466</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Menschenrechtsorgae im Bereich Migrationsrecht, in: Achermann, Alberto/Amarelle, Cesla/Boillet, Véronique/Caroni, Martina/Epiney, Astrid/Uebersax, Peter (Hrsg.), Jahrbuch für Migrationsrecht 2024/2025, Bern 2025, S. 349–432</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Jahrbuch für Migrationsrecht, in: Achermann, Alberto/Amarelle, Cesla/Boillet, Véronique/Caroni, Martina/Epiney, Astrid/Uebersax, Peter (Hrsg.), Jahrbuch für Migrationsrecht 2023/2024, Bern 2024, S. 359–428</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Alberto/Amarelle, Cesla/Boillet,Véronique/Caroni, Martina/Epiney, Astrid/Uebersax, Peter (Hrsg.), Jahrbuch für Migrationsrecht 2022/2023, Bern 2023, S. 455–519</w:t>
      </w:r>
    </w:p>
    <w:p>
      <w:pPr>
        <w:spacing w:after="240" w:line="240" w:lineRule="atLeast"/>
      </w:pPr>
      <w:r>
        <w:rPr>
          <w:smallCaps w:val="1"/>
          <w:caps w:val="0"/>
        </w:rPr>
        <w:t xml:space="preserve">Caroni Martina</w:t>
      </w:r>
      <w:r>
        <w:rPr/>
        <w:t xml:space="preserve">, Die vorrangige Berücksichtigung des übergeordneten Kindesinteresses im Migrationsrecht - Menschenrechtliche Praxis, in: Achermann, Alberto/Amarelle, Cesla/Boillet,Véronique/Caroni, Martina/Epiney, Astrid/Uebersax, Peter (Hrsg.), Jahrbuch für Migrationsrecht 2022/2023, Bern 2023, S. 3–21</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 Der Einfluss des Völkerrechts auf das schweizerische Migrationsrecht, Handbücher für die Anwaltspraxis, in: Uebersax, Peter/Rudin, Beat/Hugi Yar, Thomas/Geiser, Thomas/Vetterli, Luzia (Hrsg.), Ausländerrecht, Eine umfassende Darstellung der Rechtsstellung von Ausländerinnen und Ausländern in der Schweiz - von A(syl) bis Z(ivilrecht), 3. Auflage, Basel 2022, S. 331–380</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Alberto/Boillet, Véronique/Caroni, Martina/Epiney, Astrid/Künzli, Jörg/Uebersax, Peter (Hrsg.), Jahrbuch für Migrationsrech 2021/2022, Bern 2022, S. 357–410</w:t>
      </w:r>
    </w:p>
    <w:p>
      <w:pPr>
        <w:spacing w:after="240" w:line="240" w:lineRule="atLeast"/>
      </w:pPr>
      <w:r>
        <w:rPr>
          <w:smallCaps w:val="1"/>
          <w:caps w:val="0"/>
        </w:rPr>
        <w:t xml:space="preserve">Caroni Martina</w:t>
      </w:r>
      <w:r>
        <w:rPr/>
        <w:t xml:space="preserve">, Borderline Decisions - Entscheidungen an der Grenze, Luzerner Universitätsreden, in: Rektorat der Universität Luzern (Hrsg.), Luzerner Universitätsreden, Festreferate der Prorektorinnen und Prorektoren an den Dies Academici 2014-2020, Bd. 36, Luzern 2021, S. 22–29</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Alberto/Boillet, Véronique/Caroni, Martina/Epiney, Astrid/Künzli, Jörg/Uebersax, Peter (Hrsg.), Jahrbuch für Migrationsrecht 2020/2021, Bern 2021, S. 397–448</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Achermann, Alberto/Boillet, Véronique/Caroni, Martina/Epiney, Astrid/Künzli, Jörg/Uebersax, Peter (Hrsg.), Jahrbuch für Migrationsrecht 2019/2020, Bern 2020, S. 445–501</w:t>
      </w:r>
    </w:p>
    <w:p>
      <w:pPr>
        <w:spacing w:after="240" w:line="240" w:lineRule="atLeast"/>
      </w:pPr>
      <w:r>
        <w:rPr>
          <w:smallCaps w:val="1"/>
          <w:caps w:val="0"/>
        </w:rPr>
        <w:t xml:space="preserve">Caroni Martina</w:t>
      </w:r>
      <w:r>
        <w:rPr/>
        <w:t xml:space="preserve">, Die Praxis internationaler Menschenrechtsorgane im Bereich Migrationsrecht, in: achermann, Alberto/Boillet, Véronique/Caroni, Martina/Epiney, Astrid/Künzli, Jörg/Uebersax, Peter (Hrsg.), Jahrbuch für Migrationsrecht 2018/2019, Bern 2019, S. 403–440</w:t>
      </w:r>
    </w:p>
    <w:p>
      <w:pPr>
        <w:spacing w:after="240" w:line="240" w:lineRule="atLeast"/>
      </w:pPr>
      <w:r>
        <w:rPr>
          <w:smallCaps w:val="1"/>
          <w:caps w:val="0"/>
        </w:rPr>
        <w:t xml:space="preserve">Caroni Martina</w:t>
      </w:r>
      <w:r>
        <w:rPr/>
        <w:t xml:space="preserve">/</w:t>
      </w:r>
      <w:r>
        <w:rPr>
          <w:smallCaps w:val="1"/>
          <w:caps w:val="0"/>
        </w:rPr>
        <w:t xml:space="preserve">Schär Fiona</w:t>
      </w:r>
      <w:r>
        <w:rPr/>
        <w:t xml:space="preserve">, Die Praxis internationaler Menschenrechtsorgane im Bereich Migrationsrecht, in: Achermann, Alberto/Boillet, Véronique/Caroni, Martina/Epiney, Astrid/Künzli, Jörg/Uebersax, Peter (Hrsg.), Jahrbuch für Migrationsrecht 2017/2018, Bern 2018, S. 381–425</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Achermann, Alberto/Amarelle, Cesla/Caroni, Martina/Epiney, Astrid/Künzli, Jörg/Uebersax, Peter (Hrsg.), Jahrbuch für Migrationsrecht 2016/2017, Bern 2017, S. 411–472</w:t>
      </w:r>
    </w:p>
    <w:p>
      <w:pPr>
        <w:spacing w:after="240" w:line="240" w:lineRule="atLeast"/>
      </w:pPr>
      <w:r>
        <w:rPr>
          <w:smallCaps w:val="1"/>
          <w:caps w:val="0"/>
        </w:rPr>
        <w:t xml:space="preserve">Caroni Martina</w:t>
      </w:r>
      <w:r>
        <w:rPr/>
        <w:t xml:space="preserve">, Legitimate, but Illegal? From Humanitarian Intervention to Responsibility to Protect and Beyond, in: Eger Thomas, Oeter Stefan, Voigt Stefan (Hrsg.), International Law and the Rule of Law under Extreme Conditions, An Economic Perspective - Contributions to the XIVth Travemünde Symposium on the Economic Analysis of Law (March 27-29, 2014), Tübingen 2017, S. 267–282</w:t>
      </w:r>
    </w:p>
    <w:p>
      <w:pPr>
        <w:spacing w:after="240" w:line="240" w:lineRule="atLeast"/>
      </w:pPr>
      <w:r>
        <w:rPr>
          <w:smallCaps w:val="1"/>
          <w:caps w:val="0"/>
        </w:rPr>
        <w:t xml:space="preserve">Caroni Martina</w:t>
      </w:r>
      <w:r>
        <w:rPr/>
        <w:t xml:space="preserve">, Die rechtliche Stellung von Sans-Papiers verbessern, in: Christine Abbt/Johan Rochel (Hrsg.), Migrationsland Schweiz - 15 Vorschläge für die Zukunft, Baden 2016, S. 103–116</w:t>
      </w:r>
    </w:p>
    <w:p>
      <w:pPr>
        <w:spacing w:after="240" w:line="240" w:lineRule="atLeast"/>
      </w:pPr>
      <w:r>
        <w:rPr>
          <w:smallCaps w:val="1"/>
          <w:caps w:val="0"/>
        </w:rPr>
        <w:t xml:space="preserve">Caroni Martina</w:t>
      </w:r>
      <w:r>
        <w:rPr/>
        <w:t xml:space="preserve">/</w:t>
      </w:r>
      <w:r>
        <w:rPr>
          <w:smallCaps w:val="1"/>
          <w:caps w:val="0"/>
        </w:rPr>
        <w:t xml:space="preserve">Meisser Livia</w:t>
      </w:r>
      <w:r>
        <w:rPr/>
        <w:t xml:space="preserve">, Les nouvelles réalités familiales - Un défi aussi pour le droit des migrations, in: Matthieu, Corbaz/Minh, Son Nguyen (Hrsg.) (Hrsg.), Actualité du droit des étrangers, Les relations familiales, numéro spécial, Basel 2016, S. 23–42</w:t>
      </w:r>
    </w:p>
    <w:p>
      <w:pPr>
        <w:spacing w:after="240" w:line="240" w:lineRule="atLeast"/>
      </w:pPr>
      <w:r>
        <w:rPr>
          <w:smallCaps w:val="1"/>
          <w:caps w:val="0"/>
        </w:rPr>
        <w:t xml:space="preserve">Caroni Martina</w:t>
      </w:r>
      <w:r>
        <w:rPr/>
        <w:t xml:space="preserve">/</w:t>
      </w:r>
      <w:r>
        <w:rPr>
          <w:smallCaps w:val="1"/>
          <w:caps w:val="0"/>
        </w:rPr>
        <w:t xml:space="preserve">Meisser Livia</w:t>
      </w:r>
      <w:r>
        <w:rPr/>
        <w:t xml:space="preserve">, Neue Familienrealitäten - Eine Herausforderung auch für das Migrationsrecht, in: Matthieu, Corbaz/Minh, Son Nguyen (Hrsg.) (Hrsg.), Actualité du droit des étrangers, Les relations familiales, numéro spécial, Basel 2016, S. 1–21</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(Hrsg.), Jahrbuch für Migrationsrecht 2015/2016, Bern 2015, S. 375–421</w:t>
      </w:r>
    </w:p>
    <w:p>
      <w:pPr>
        <w:spacing w:after="240" w:line="240" w:lineRule="atLeast"/>
      </w:pPr>
      <w:r>
        <w:rPr>
          <w:smallCaps w:val="1"/>
          <w:caps w:val="0"/>
        </w:rPr>
        <w:t xml:space="preserve">Caroni Martina</w:t>
      </w:r>
      <w:r>
        <w:rPr/>
        <w:t xml:space="preserve">/</w:t>
      </w:r>
      <w:r>
        <w:rPr>
          <w:smallCaps w:val="1"/>
          <w:caps w:val="0"/>
        </w:rPr>
        <w:t xml:space="preserve">Seiberth Corinna</w:t>
      </w:r>
      <w:r>
        <w:rPr/>
        <w:t xml:space="preserve">, From Gender-Blind to Gender-Sensitive: The Relevance of the UN Women, Peace and Security Agenda for Operationalizing Responsibility to Protect, in: Peter Hilpold (Hrsg.), Responsibility to Protec (R2P), A New Paradigm in International Law?, Leiden/Boston 2015, S. 253–273</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(Hrsg.), Jahrbuch für Migrationsrecht 2014/2015, Bern 2014, S. 331–379</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(Hrsg.), Jahrbuch für Migrationsrecht 2013/2014, bern 2014, S. 399–450</w:t>
      </w:r>
    </w:p>
    <w:p>
      <w:pPr>
        <w:spacing w:after="240" w:line="240" w:lineRule="atLeast"/>
      </w:pPr>
      <w:r>
        <w:rPr>
          <w:smallCaps w:val="1"/>
          <w:caps w:val="0"/>
        </w:rPr>
        <w:t xml:space="preserve">Caroni Martina</w:t>
      </w:r>
      <w:r>
        <w:rPr/>
        <w:t xml:space="preserve">, Der Familiennachzug in der Schweiz - Gratwanderung zwischen Menschenrechten, Gleichberechtigung und restriktiver Zulassungspolitik, in: Alberto Achermann (Hrsg.), Jahrbuch für Migrationsrecht 2012/2013, Bern 2013, S. 1–30</w:t>
      </w:r>
    </w:p>
    <w:p>
      <w:pPr>
        <w:spacing w:after="240" w:line="240" w:lineRule="atLeast"/>
      </w:pPr>
      <w:r>
        <w:rPr>
          <w:smallCaps w:val="1"/>
          <w:caps w:val="0"/>
        </w:rPr>
        <w:t xml:space="preserve">Caroni Martina</w:t>
      </w:r>
      <w:r>
        <w:rPr/>
        <w:t xml:space="preserve">, Die Praxis internationaler Menschenrechtsorgane im Bereich Migrationsrecht, in: Alberto Achermann (Hrsg.), Jahrbuch für Migrationsrecht 2012/2013, Bern 2013, S. 410–444</w:t>
      </w:r>
    </w:p>
    <w:p>
      <w:pPr>
        <w:spacing w:after="240" w:line="240" w:lineRule="atLeast"/>
      </w:pPr>
      <w:r>
        <w:rPr>
          <w:smallCaps w:val="1"/>
          <w:caps w:val="0"/>
        </w:rPr>
        <w:t xml:space="preserve">Caroni Martina</w:t>
      </w:r>
      <w:r>
        <w:rPr/>
        <w:t xml:space="preserve">/</w:t>
      </w:r>
      <w:r>
        <w:rPr>
          <w:smallCaps w:val="1"/>
          <w:caps w:val="0"/>
        </w:rPr>
        <w:t xml:space="preserve">Seiberth Corinna</w:t>
      </w:r>
      <w:r>
        <w:rPr/>
        <w:t xml:space="preserve">, From Gender-Blind to Gender-Sensitive: The Relevance of the UN Women, Peace and Security Agenda for Operationalizing Responsibility to Protect, in: Peter Hilpold (Hrsg.), Die Schutzverantwortung (R2P) - Ein Paradigmenwechsel in der Entwicklung des Internationalen Rechts?, Leiden/Boston 2013, S. 187–205</w:t>
      </w:r>
    </w:p>
    <w:p>
      <w:pPr>
        <w:spacing w:after="240" w:line="240" w:lineRule="atLeast"/>
      </w:pPr>
      <w:r>
        <w:rPr>
          <w:smallCaps w:val="1"/>
          <w:caps w:val="0"/>
        </w:rPr>
        <w:t xml:space="preserve">Caroni Martina</w:t>
      </w:r>
      <w:r>
        <w:rPr/>
        <w:t xml:space="preserve">, Die Praxis internationaler Menschenrechtsorgane im Bereich Migrationsrecht, in: Alberto Achermann (Hrsg.), Jahrbuch für Migrationsrecht 2011/2012, Bern 2012, S. 347–407</w:t>
      </w:r>
    </w:p>
    <w:p>
      <w:pPr>
        <w:spacing w:after="240" w:line="240" w:lineRule="atLeast"/>
      </w:pPr>
      <w:r>
        <w:rPr>
          <w:smallCaps w:val="1"/>
          <w:caps w:val="0"/>
        </w:rPr>
        <w:t xml:space="preserve">Caroni Martina</w:t>
      </w:r>
      <w:r>
        <w:rPr/>
        <w:t xml:space="preserve">/</w:t>
      </w:r>
      <w:r>
        <w:rPr>
          <w:smallCaps w:val="1"/>
          <w:caps w:val="0"/>
        </w:rPr>
        <w:t xml:space="preserve">Pedretti Ramona</w:t>
      </w:r>
      <w:r>
        <w:rPr/>
        <w:t xml:space="preserve">, Human Rights and Transnational Corporations in the 21st Century: Overview and Outlook, in: Caroni Martina / Pedretti Ramona (Hrsg.), Inter-Amcerican Juridical Committee, XXXVIII Course of International Law, Washington 2012, S. 37–64, https://www.unilu.ch/fileadmin/fakultaeten/rf/caroni/dok/publicaciones_digital_XXXVIII_curso_derecho_internacional_2011_Martina_Caroni-Ramona_Pedretti.pdf</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(Hrsg.), Jahrbuch für Migrationsrecht 2010/2011, Bern 2011, S. 247–281</w:t>
      </w:r>
    </w:p>
    <w:p>
      <w:pPr>
        <w:spacing w:after="240" w:line="240" w:lineRule="atLeast"/>
      </w:pPr>
      <w:r>
        <w:rPr>
          <w:smallCaps w:val="1"/>
          <w:caps w:val="0"/>
        </w:rPr>
        <w:t xml:space="preserve">Caroni Martina</w:t>
      </w:r>
      <w:r>
        <w:rPr/>
        <w:t xml:space="preserve">, Konsularischer Schutz bei Entführungen - wer zahlt die Zeche?, in: Martina Caroni/Sebastian Heselhaus/Klaus Mathis/Roland Norer (Hrsg.), Festschrift für Paul Richli zum 65. Geburtstag, Zürich/St.Gallen 2011, S. 237–254</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Achermann/Martina Caroni/Astrid Epiney/Walter Kälin/Minh Son Nguyen/Peter Uebersax (Hrsg.), Jahrbuch für Migrationsrecht 2009/2010, Bern 2010, S. 339–369</w:t>
      </w:r>
    </w:p>
    <w:p>
      <w:pPr>
        <w:spacing w:after="240" w:line="240" w:lineRule="atLeast"/>
      </w:pPr>
      <w:r>
        <w:rPr>
          <w:smallCaps w:val="1"/>
          <w:caps w:val="0"/>
        </w:rPr>
        <w:t xml:space="preserve">Caroni Martina</w:t>
      </w:r>
      <w:r>
        <w:rPr/>
        <w:t xml:space="preserve">, Religion und Integration - Gedanken zum Umgang mit religiösen Minderheiten, in: René Pahud de Mortanges (Hrsg.), Religion und Integration aus der Sicht des Rechts, Grundlagen - Problemfelder - Perspektiven, Zürich/Basel/Genf 2010, S. 11–37</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(Hrsg.), Jahrbuch für Migrationsrecht 2008/2009, Bern 2009, S. 237–260</w:t>
      </w:r>
    </w:p>
    <w:p>
      <w:pPr>
        <w:spacing w:after="240" w:line="240" w:lineRule="atLeast"/>
      </w:pPr>
      <w:r>
        <w:rPr>
          <w:smallCaps w:val="1"/>
          <w:caps w:val="0"/>
        </w:rPr>
        <w:t xml:space="preserve">Caroni Martina</w:t>
      </w:r>
      <w:r>
        <w:rPr/>
        <w:t xml:space="preserve">, Die Zulassung zum Aufenthalt zu Aus- und Weiterbildungszwecken, in: Jürg-Beat Ackermann/Felix Bommer (Hrsg.), Liber Amicorum für Dr. Martin Vonplon, Zürich 2009, S. 85–94</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 Einfluss der völkerrechtlichen Praxis auf das schweizerische Migrationsrecht, in: Peter Uebersax (Hrsg.), Ausländerrecht - Handbücher für die Anwaltspraxis, 2. Auflage, Basel 2009, S. 189–218</w:t>
      </w:r>
    </w:p>
    <w:p>
      <w:pPr>
        <w:spacing w:after="240" w:line="240" w:lineRule="atLeast"/>
      </w:pPr>
      <w:r>
        <w:rPr>
          <w:smallCaps w:val="1"/>
          <w:caps w:val="0"/>
        </w:rPr>
        <w:t xml:space="preserve">Caroni Martina</w:t>
      </w:r>
      <w:r>
        <w:rPr/>
        <w:t xml:space="preserve">/</w:t>
      </w:r>
      <w:r>
        <w:rPr>
          <w:smallCaps w:val="1"/>
          <w:caps w:val="0"/>
        </w:rPr>
        <w:t xml:space="preserve">Bolzli Peter</w:t>
      </w:r>
      <w:r>
        <w:rPr/>
        <w:t xml:space="preserve">, Die Familie im Ausländerrecht, Schriftenreihe zum Familienrecht, in: Ingeborg Schwenzer/Andrea Büchler (Hrsg.), Vierte Schweizerische Familienrechtstage, Bd. 10, Bern 2008, S. 119–126</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(Hrsg.), Jahrbuch für Migrationsrecht 2007/2008, Bern 2008, S. 265–287</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 Vom Kriegsbündnis zur Sicherung des Weltfriedens und der Förderung der Menschenrechte - Die Entstehung und Gründungsziele der Vereinten Nationen, in: Hans J. Münk (Hrsg.), Die Vereinten Nationen sechs Jahrzehnte nach ihrer Gründung - Bilanz und Reformperspektiven, Bern 2008, S. 1–28</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(Hrsg.), Jahrbuch für Migrationsrecht 2006/2007, Bern 2007, S. 215–245</w:t>
      </w:r>
    </w:p>
    <w:p>
      <w:pPr>
        <w:spacing w:after="240" w:line="240" w:lineRule="atLeast"/>
      </w:pPr>
      <w:r>
        <w:rPr>
          <w:smallCaps w:val="1"/>
          <w:caps w:val="0"/>
        </w:rPr>
        <w:t xml:space="preserve">Caroni Martina</w:t>
      </w:r>
      <w:r>
        <w:rPr/>
        <w:t xml:space="preserve">, Menschenrechtliche Wegweisungsverbote: Neuere Praxis, in: Alberto Achermann (Hrsg.), Jahrbuch für Migrationsrecht 2006/2007, Bern 2007, S. 53–67</w:t>
      </w:r>
    </w:p>
    <w:p>
      <w:pPr>
        <w:spacing w:after="240" w:line="240" w:lineRule="atLeast"/>
      </w:pPr>
      <w:r>
        <w:rPr>
          <w:smallCaps w:val="1"/>
          <w:caps w:val="0"/>
        </w:rPr>
        <w:t xml:space="preserve">Caroni Martina</w:t>
      </w:r>
      <w:r>
        <w:rPr/>
        <w:t xml:space="preserve">/</w:t>
      </w:r>
      <w:r>
        <w:rPr>
          <w:smallCaps w:val="1"/>
          <w:caps w:val="0"/>
        </w:rPr>
        <w:t xml:space="preserve">Ott Lisa</w:t>
      </w:r>
      <w:r>
        <w:rPr/>
        <w:t xml:space="preserve">, Das Recht auf Bildung - Ein Menschenrecht, in: Peter G. Kirchschläger (Hrsg.), Menschenrechte und Bildung, 3. Internationales Menschenrechtsforum Luzern (IHRF), Bern 2006, S. 189–196</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(Hrsg.), Jahrbuch für Migrationsrecht 2005/2006, Bern 2006, S. 189–212</w:t>
      </w:r>
    </w:p>
    <w:p>
      <w:pPr>
        <w:spacing w:after="240" w:line="240" w:lineRule="atLeast"/>
      </w:pPr>
      <w:r>
        <w:rPr>
          <w:smallCaps w:val="1"/>
          <w:caps w:val="0"/>
        </w:rPr>
        <w:t xml:space="preserve">Caroni Martina</w:t>
      </w:r>
      <w:r>
        <w:rPr/>
        <w:t xml:space="preserve">, Rentiere vs. Motorsägen - Zum Zielkonflikt zwischen indigener und moderner Nutzung natürlicher Ressourcen, in: Jörg Schmid/Hansjörg Seiler (Hrsg.), Recht des ländlichen Raums, Festgabe der Rechtswissenschaftlichen Fakultät der Universität Luzern für Paul Richli zum 60. Geburtstag, Zürich 2006, S. 67–92</w:t>
      </w:r>
    </w:p>
    <w:p>
      <w:pPr>
        <w:spacing w:after="240" w:line="240" w:lineRule="atLeast"/>
      </w:pPr>
      <w:r>
        <w:rPr>
          <w:smallCaps w:val="1"/>
          <w:caps w:val="0"/>
        </w:rPr>
        <w:t xml:space="preserve">Caroni Martina</w:t>
      </w:r>
      <w:r>
        <w:rPr/>
        <w:t xml:space="preserve">, Das Recht des Kindes auf die familiäre Umgebung - aus der Sicht der EMRK, in: Thilo Marauhn (Hrsg.), Internationaler Kinderschutz, Tübingen 2005, S. 43–72</w:t>
      </w:r>
    </w:p>
    <w:p>
      <w:pPr>
        <w:spacing w:after="240" w:line="240" w:lineRule="atLeast"/>
      </w:pPr>
      <w:r>
        <w:rPr>
          <w:smallCaps w:val="1"/>
          <w:caps w:val="0"/>
        </w:rPr>
        <w:t xml:space="preserve">Caroni Martina</w:t>
      </w:r>
      <w:r>
        <w:rPr/>
        <w:t xml:space="preserve">, Das Verfahren vor dem Europäischen Gerichtshof für Menschenrechte - neuere Entwicklungen, Publikationen des Europa Instituts Zürich, in: Daniel Thürer (Hrsg.), EMRK: Neuere Entwicklungen, Bd. 52, Zürich 2005, S. 213–257</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(Hrsg.), Jahrbuch für Migrationsrecht, 2004/2005, Bern 2005, S. 191–216</w:t>
      </w:r>
    </w:p>
    <w:p>
      <w:pPr>
        <w:spacing w:after="240" w:line="240" w:lineRule="atLeast"/>
      </w:pPr>
      <w:r>
        <w:rPr>
          <w:smallCaps w:val="1"/>
          <w:caps w:val="0"/>
        </w:rPr>
        <w:t xml:space="preserve">Caroni Martina</w:t>
      </w:r>
      <w:r>
        <w:rPr/>
        <w:t xml:space="preserve">, Integration von Migranten: Zusammenarbeit von Staat und Religionsgemeinschaften? Verfassungsrechtliche Möglichkeiten und Grenzen der Zusammenarbeit von Staat und Religionsgemeinschaften im Integrationsprozess, in: René Pahud de Mortanges/Erwin Tanner (Hrsg.), Kooperation zwischen Staat und Religionsgemeinschaften nach schweizerischem Recht, Zürich 2005, S. 459–487</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w:t>
      </w:r>
      <w:r>
        <w:rPr>
          <w:smallCaps w:val="1"/>
          <w:caps w:val="0"/>
        </w:rPr>
        <w:t xml:space="preserve">Kälin Walter</w:t>
      </w:r>
      <w:r>
        <w:rPr/>
        <w:t xml:space="preserve">, Die Bedeutung des UNO-Paktes über bürgerliche und politische Rechte für das schweizerische Recht, in: Walter Kälin/Giorgio Malinverni/Manfred Nowak (Hrsg.), Die Schweiz und die UNO-Menschenrechtspakte, 2. Auflage, Basel/Frankfurt a.M./Bruxelles 1997, S. 155–233</w:t>
      </w:r>
    </w:p>
    <w:p>
      <w:pPr>
        <w:spacing w:after="240" w:line="240" w:lineRule="atLeast"/>
        <w:rPr>
          <w:b/>
          <w:bCs/>
        </w:rPr>
      </w:pPr>
      <w:r>
        <w:rPr>
          <w:b/>
          <w:bCs/>
        </w:rPr>
        <w:t xml:space="preserve">Beitrag in einem Kommentar</w:t>
      </w:r>
    </w:p>
    <w:p>
      <w:pPr>
        <w:spacing w:after="240" w:line="240" w:lineRule="atLeast"/>
      </w:pPr>
      <w:r>
        <w:rPr>
          <w:smallCaps w:val="1"/>
          <w:caps w:val="0"/>
        </w:rPr>
        <w:t xml:space="preserve">Caroni Martina</w:t>
      </w:r>
      <w:r>
        <w:rPr/>
        <w:t xml:space="preserve">, Art. 46 AIG - Erwerbstätigkeit der Ehegatten und Kinder, in: Caroni, Martina/Thurnherr, Daniela (Hrsg.), Ausländer- und Integrationsgesetz (AIG), 2. Auflage, Bern 22.04.2026, S. 582–587</w:t>
      </w:r>
    </w:p>
    <w:p>
      <w:pPr>
        <w:spacing w:after="240" w:line="240" w:lineRule="atLeast"/>
      </w:pPr>
      <w:r>
        <w:rPr>
          <w:smallCaps w:val="1"/>
          <w:caps w:val="0"/>
        </w:rPr>
        <w:t xml:space="preserve">Isler Sofie</w:t>
      </w:r>
      <w:r>
        <w:rPr/>
        <w:t xml:space="preserve">/</w:t>
      </w:r>
      <w:r>
        <w:rPr>
          <w:smallCaps w:val="1"/>
          <w:caps w:val="0"/>
        </w:rPr>
        <w:t xml:space="preserve">Caroni Martina</w:t>
      </w:r>
      <w:r>
        <w:rPr/>
        <w:t xml:space="preserve">, Art. 27 AIG - Aus- und Weiterbildung, in: Caroni, Martina/Thurnherr, Daniela (Hrsg.), Ausländer- und Integrationsgesetz (AIG), 2. Auflage, Bern 2024, S. 293–308</w:t>
      </w:r>
    </w:p>
    <w:p>
      <w:pPr>
        <w:spacing w:after="240" w:line="240" w:lineRule="atLeast"/>
      </w:pPr>
      <w:r>
        <w:rPr>
          <w:smallCaps w:val="1"/>
          <w:caps w:val="0"/>
        </w:rPr>
        <w:t xml:space="preserve">Caroni Martina</w:t>
      </w:r>
      <w:r>
        <w:rPr/>
        <w:t xml:space="preserve">/</w:t>
      </w:r>
      <w:r>
        <w:rPr>
          <w:smallCaps w:val="1"/>
          <w:caps w:val="0"/>
        </w:rPr>
        <w:t xml:space="preserve">Gjokaj Gabriela</w:t>
      </w:r>
      <w:r>
        <w:rPr/>
        <w:t xml:space="preserve">, Art. 28 AIG - Rentnerinnen und Rentner, in: Caroni Martina/Thurnherr, Daniela (Hrsg.), Ausländer- und Integrationsgesetz (AIG), 2. Auflage, Bern 2024, S. 309–317</w:t>
      </w:r>
    </w:p>
    <w:p>
      <w:pPr>
        <w:spacing w:after="240" w:line="240" w:lineRule="atLeast"/>
      </w:pPr>
      <w:r>
        <w:rPr>
          <w:smallCaps w:val="1"/>
          <w:caps w:val="0"/>
        </w:rPr>
        <w:t xml:space="preserve">Caroni Martina</w:t>
      </w:r>
      <w:r>
        <w:rPr/>
        <w:t xml:space="preserve">/</w:t>
      </w:r>
      <w:r>
        <w:rPr>
          <w:smallCaps w:val="1"/>
          <w:caps w:val="0"/>
        </w:rPr>
        <w:t xml:space="preserve">Kameric Jasmin</w:t>
      </w:r>
      <w:r>
        <w:rPr/>
        <w:t xml:space="preserve">, Art. 29 AIG - Medizinische Behandlung, in: Caroni, Martina/Thurnherr, Daniela (Hrsg.), Ausländer- und Integrationsgesetz (AIG), 2. Auflage, Bern 2024, S. 318–322</w:t>
      </w:r>
    </w:p>
    <w:p>
      <w:pPr>
        <w:spacing w:after="240" w:line="240" w:lineRule="atLeast"/>
      </w:pPr>
      <w:r>
        <w:rPr>
          <w:smallCaps w:val="1"/>
          <w:caps w:val="0"/>
        </w:rPr>
        <w:t xml:space="preserve">Caroni Martina</w:t>
      </w:r>
      <w:r>
        <w:rPr/>
        <w:t xml:space="preserve">, Art. 42 AIG - Familienangehörige von Schweizerinnen und Schweizern, in: Caroni, Martina/Thurnherr, Daniela (Hrsg.), Ausländer- und Integrationsgesetz (AIG), 2. Auflage, Bern 2024, S. 510–536</w:t>
      </w:r>
    </w:p>
    <w:p>
      <w:pPr>
        <w:spacing w:after="240" w:line="240" w:lineRule="atLeast"/>
      </w:pPr>
      <w:r>
        <w:rPr>
          <w:smallCaps w:val="1"/>
          <w:caps w:val="0"/>
        </w:rPr>
        <w:t xml:space="preserve">Caroni Martina</w:t>
      </w:r>
      <w:r>
        <w:rPr/>
        <w:t xml:space="preserve">, Art. 43 AIG - Ehegatten und Kinder von Personen mit Niederlassungsbewilligung, in: Caroni, Martina/Thurnherr, Daniela (Hrsg.), Ausländer- und Integrationsgesetz (AIG), 2. Auflage, Bern 2024, S. 537–556</w:t>
      </w:r>
    </w:p>
    <w:p>
      <w:pPr>
        <w:spacing w:after="240" w:line="240" w:lineRule="atLeast"/>
      </w:pPr>
      <w:r>
        <w:rPr>
          <w:smallCaps w:val="1"/>
          <w:caps w:val="0"/>
        </w:rPr>
        <w:t xml:space="preserve">Caroni Martina</w:t>
      </w:r>
      <w:r>
        <w:rPr/>
        <w:t xml:space="preserve">, Art. 44 AIG - Ehegatten und Kinder von Personen mit Aufenthaltsbewilligung, in: Caroni, Martina/Thurnherr, Daniela (Hrsg.), Ausländer- und Integrationsgesetz (AIG), 2. Auflage, Bern 2024, S. 557–570</w:t>
      </w:r>
    </w:p>
    <w:p>
      <w:pPr>
        <w:spacing w:after="240" w:line="240" w:lineRule="atLeast"/>
      </w:pPr>
      <w:r>
        <w:rPr>
          <w:smallCaps w:val="1"/>
          <w:caps w:val="0"/>
        </w:rPr>
        <w:t xml:space="preserve">Caroni Martina</w:t>
      </w:r>
      <w:r>
        <w:rPr/>
        <w:t xml:space="preserve">, Art. 45 AIG - Ehegatten und Kinder von Personen mit Kurzaufenthaltsbewilligung, in: Caroni, Martina/Thurnherr, Daniela (Hrsg.), Ausländer- und Integrationsgesetz (AIG), 2. Auflage, Bern 2024, S. 571–576</w:t>
      </w:r>
    </w:p>
    <w:p>
      <w:pPr>
        <w:spacing w:after="240" w:line="240" w:lineRule="atLeast"/>
      </w:pPr>
      <w:r>
        <w:rPr>
          <w:smallCaps w:val="1"/>
          <w:caps w:val="0"/>
        </w:rPr>
        <w:t xml:space="preserve">Caroni Martina</w:t>
      </w:r>
      <w:r>
        <w:rPr/>
        <w:t xml:space="preserve">, Art. 45a AIG - Eheungültigkeit, in: Caroni, Martina/Thurnherr, Daniela (Hrsg.), Ausländer- und Integrationsgesetz (AIG), 2. Auflage, Bern 2024, S. 577–581</w:t>
      </w:r>
    </w:p>
    <w:p>
      <w:pPr>
        <w:spacing w:after="240" w:line="240" w:lineRule="atLeast"/>
      </w:pPr>
      <w:r>
        <w:rPr>
          <w:smallCaps w:val="1"/>
          <w:caps w:val="0"/>
        </w:rPr>
        <w:t xml:space="preserve">Caroni Martina</w:t>
      </w:r>
      <w:r>
        <w:rPr/>
        <w:t xml:space="preserve">, Art. 47 AIG - Frist für den Familiennachzug, in: Caroni, Martina/Thurnherr, Daniela (Hrsg.), Ausländer- und Integrationsgesetz (AIG), 2. Auflage, Bern 2024, S. 588–602</w:t>
      </w:r>
    </w:p>
    <w:p>
      <w:pPr>
        <w:spacing w:after="240" w:line="240" w:lineRule="atLeast"/>
      </w:pPr>
      <w:r>
        <w:rPr>
          <w:smallCaps w:val="1"/>
          <w:caps w:val="0"/>
        </w:rPr>
        <w:t xml:space="preserve">Caroni Martina</w:t>
      </w:r>
      <w:r>
        <w:rPr/>
        <w:t xml:space="preserve">, Art. 49 AIG - Ausnahmen vom Erfordernis des Zusammenwohnens, in: Caroni, Martina/Thurnherr, Daniela (Hrsg.), Ausländer- und Integrationsgesetz (AIG), 2. Auflage, Bern 2024, S. 614–621</w:t>
      </w:r>
    </w:p>
    <w:p>
      <w:pPr>
        <w:spacing w:after="240" w:line="240" w:lineRule="atLeast"/>
      </w:pPr>
      <w:r>
        <w:rPr>
          <w:smallCaps w:val="1"/>
          <w:caps w:val="0"/>
        </w:rPr>
        <w:t xml:space="preserve">Caroni Martina</w:t>
      </w:r>
      <w:r>
        <w:rPr/>
        <w:t xml:space="preserve">, Art. 49a AIG - Ausnahmen vom Erfordernis des Sprachnachweises, in: Caroni, Martina/Thurnherr, Daniela (Hrsg.), Ausländer- und Integrationsgesetz (AIG), 2. Auflage, Bern 2024, S. 622–625</w:t>
      </w:r>
    </w:p>
    <w:p>
      <w:pPr>
        <w:spacing w:after="240" w:line="240" w:lineRule="atLeast"/>
      </w:pPr>
      <w:r>
        <w:rPr>
          <w:smallCaps w:val="1"/>
          <w:caps w:val="0"/>
        </w:rPr>
        <w:t xml:space="preserve">Caroni Martina</w:t>
      </w:r>
      <w:r>
        <w:rPr/>
        <w:t xml:space="preserve">, Art. 50 AIG - Auflösung der Familiengemeinschaft, in: Caroni, Martina/Thurnherr, Daniela (Hrsg.), Ausländer- und Integrationsgesetz (AIG), 2. Auflage, Bern 2024, S. 626–645</w:t>
      </w:r>
    </w:p>
    <w:p>
      <w:pPr>
        <w:spacing w:after="240" w:line="240" w:lineRule="atLeast"/>
      </w:pPr>
      <w:r>
        <w:rPr>
          <w:smallCaps w:val="1"/>
          <w:caps w:val="0"/>
        </w:rPr>
        <w:t xml:space="preserve">Caroni Martina</w:t>
      </w:r>
      <w:r>
        <w:rPr/>
        <w:t xml:space="preserve">, Art. 51 AIG - Erlöschen des Anspruhs auf Familiennachzug, in: Caroni, Martina/Thurnherr, Daniela (Hrsg.), Ausländer- und Integrationsgesetz (AIG), 2. Auflage, Bern 2024, S. 646–658</w:t>
      </w:r>
    </w:p>
    <w:p>
      <w:pPr>
        <w:spacing w:after="240" w:line="240" w:lineRule="atLeast"/>
      </w:pPr>
      <w:r>
        <w:rPr>
          <w:smallCaps w:val="1"/>
          <w:caps w:val="0"/>
        </w:rPr>
        <w:t xml:space="preserve">Caroni Martina</w:t>
      </w:r>
      <w:r>
        <w:rPr/>
        <w:t xml:space="preserve">, Art. 71b AIG - Weitergabe medizinischer Daten zur Beurteilung der Transportfähigkeit, in: Caroni, Martina/Thurnherr, Daniela (Hrsg.), Ausländer- und Integrationsgesetz (AIG), 2. Auflage, Bern 2024, S. 1153–1158</w:t>
      </w:r>
    </w:p>
    <w:p>
      <w:pPr>
        <w:spacing w:after="240" w:line="240" w:lineRule="atLeast"/>
      </w:pPr>
      <w:r>
        <w:rPr>
          <w:smallCaps w:val="1"/>
          <w:caps w:val="0"/>
        </w:rPr>
        <w:t xml:space="preserve">Caroni Martina</w:t>
      </w:r>
      <w:r>
        <w:rPr/>
        <w:t xml:space="preserve">, Art. 81 AIG - Haftbedingungen, in: Caroni, Martina/Thurnherr, Daniela (Hrsg.), Ausländer- und Integrationsgesetz (AIG), 2. Auflage, Bern 2024, S. 1304–1318</w:t>
      </w:r>
    </w:p>
    <w:p>
      <w:pPr>
        <w:spacing w:after="240" w:line="240" w:lineRule="atLeast"/>
      </w:pPr>
      <w:r>
        <w:rPr>
          <w:smallCaps w:val="1"/>
          <w:caps w:val="0"/>
        </w:rPr>
        <w:t xml:space="preserve">Bellamy N</w:t>
      </w:r>
      <w:r>
        <w:rPr/>
        <w:t xml:space="preserve">/</w:t>
      </w:r>
      <w:r>
        <w:rPr>
          <w:smallCaps w:val="1"/>
          <w:caps w:val="0"/>
        </w:rPr>
        <w:t xml:space="preserve">Caroni Martina</w:t>
      </w:r>
      <w:r>
        <w:rPr/>
        <w:t xml:space="preserve">/</w:t>
      </w:r>
      <w:r>
        <w:rPr>
          <w:smallCaps w:val="1"/>
          <w:caps w:val="0"/>
        </w:rPr>
        <w:t xml:space="preserve">Plozza Monika</w:t>
      </w:r>
      <w:r>
        <w:rPr/>
        <w:t xml:space="preserve">, Art. 83 AIG – Anordnung der vorläufigen Aufnahme, in: Caroni, Martina/Thurnherr, Daniela (Hrsg.), Bundesgesetz über die Ausländerinnen und Ausländer und über die Integration (AIG), Bundesgesetz über die Ausländerinnen und Ausländer und über die Integration (AIG), Stämpfli Handkommentar (SHK), 2024</w:t>
      </w:r>
    </w:p>
    <w:p>
      <w:pPr>
        <w:spacing w:after="240" w:line="240" w:lineRule="atLeast"/>
      </w:pPr>
      <w:r>
        <w:rPr>
          <w:smallCaps w:val="1"/>
          <w:caps w:val="0"/>
        </w:rPr>
        <w:t xml:space="preserve">Bellamy N</w:t>
      </w:r>
      <w:r>
        <w:rPr/>
        <w:t xml:space="preserve">/</w:t>
      </w:r>
      <w:r>
        <w:rPr>
          <w:smallCaps w:val="1"/>
          <w:caps w:val="0"/>
        </w:rPr>
        <w:t xml:space="preserve">Caroni Martina</w:t>
      </w:r>
      <w:r>
        <w:rPr/>
        <w:t xml:space="preserve">/</w:t>
      </w:r>
      <w:r>
        <w:rPr>
          <w:smallCaps w:val="1"/>
          <w:caps w:val="0"/>
        </w:rPr>
        <w:t xml:space="preserve">Plozza Monika</w:t>
      </w:r>
      <w:r>
        <w:rPr/>
        <w:t xml:space="preserve">, Art. 84 AIG – Beendigung der vorläufigen Aufnahme, in: Caroni, Martina/Thurnherr, Daniela (Hrsg.), Bundesgesetz über die Ausländerinnen und Ausländer und über die Integration (AIG), Stämpfli Handkommentar (SHK), 2024</w:t>
      </w:r>
    </w:p>
    <w:p>
      <w:pPr>
        <w:spacing w:after="240" w:line="240" w:lineRule="atLeast"/>
      </w:pPr>
      <w:r>
        <w:rPr>
          <w:smallCaps w:val="1"/>
          <w:caps w:val="0"/>
        </w:rPr>
        <w:t xml:space="preserve">Caroni Martina</w:t>
      </w:r>
      <w:r>
        <w:rPr/>
        <w:t xml:space="preserve">, Art. 85c AIG - Familiennachzug, in: Caroni, Martina/Thurnherr, Daniela (Hrsg.), Ausländer- und Integrationsgesetz (AIG), 2. Auflage, Bern 2024, S. 1401–1413</w:t>
      </w:r>
    </w:p>
    <w:p>
      <w:pPr>
        <w:spacing w:after="240" w:line="240" w:lineRule="atLeast"/>
      </w:pPr>
      <w:r>
        <w:rPr>
          <w:smallCaps w:val="1"/>
          <w:caps w:val="0"/>
        </w:rPr>
        <w:t xml:space="preserve">Plozza Monika</w:t>
      </w:r>
      <w:r>
        <w:rPr/>
        <w:t xml:space="preserve">/</w:t>
      </w:r>
      <w:r>
        <w:rPr>
          <w:smallCaps w:val="1"/>
          <w:caps w:val="0"/>
        </w:rPr>
        <w:t xml:space="preserve">Caroni Martina</w:t>
      </w:r>
      <w:r>
        <w:rPr/>
        <w:t xml:space="preserve">, Art. 87 AIG – Bundesbeiträge, in: Caroni, Martina/Thurnherr, Daniela (Hrsg.), Bundesgesetz über die Ausländerinnen und Ausländer und über die Integration (AIG), Stämpfli Handkommentar (SHK), 2024</w:t>
      </w:r>
    </w:p>
    <w:p>
      <w:pPr>
        <w:spacing w:after="240" w:line="240" w:lineRule="atLeast"/>
      </w:pPr>
      <w:r>
        <w:rPr>
          <w:smallCaps w:val="1"/>
          <w:caps w:val="0"/>
        </w:rPr>
        <w:t xml:space="preserve">Kälin Walter</w:t>
      </w:r>
      <w:r>
        <w:rPr/>
        <w:t xml:space="preserve">/</w:t>
      </w:r>
      <w:r>
        <w:rPr>
          <w:smallCaps w:val="1"/>
          <w:caps w:val="0"/>
        </w:rPr>
        <w:t xml:space="preserve">Caroni Martina</w:t>
      </w:r>
      <w:r>
        <w:rPr/>
        <w:t xml:space="preserve">/</w:t>
      </w:r>
      <w:r>
        <w:rPr>
          <w:smallCaps w:val="1"/>
          <w:caps w:val="0"/>
        </w:rPr>
        <w:t xml:space="preserve">Heim Lukas</w:t>
      </w:r>
      <w:r>
        <w:rPr/>
        <w:t xml:space="preserve">, Article 33, para. 1 (Prohibiton of Expulsion or Return), in: Zimmermann, Andreas/Terje, einarsen/Herrmann, Franziska M. (Hrsg.), The 1951 Convention Relating to the Status of Refugees and its 1967 Protocol - A Commentary, 2. Auflage, Oxfors 2024</w:t>
      </w:r>
    </w:p>
    <w:p>
      <w:pPr>
        <w:spacing w:after="240" w:line="240" w:lineRule="atLeast"/>
      </w:pPr>
      <w:r>
        <w:rPr>
          <w:smallCaps w:val="1"/>
          <w:caps w:val="0"/>
        </w:rPr>
        <w:t xml:space="preserve">Caroni Martina</w:t>
      </w:r>
      <w:r>
        <w:rPr/>
        <w:t xml:space="preserve">, Vorb. zu Art. 42 - 52 AIG, in: Caroni, Martina/Thurnherr, Daniela (Hrsg.), Ausländer- und Integrationsgesetz (AIG), 2. Auflage, Bern 2024, S. 482–509</w:t>
      </w:r>
    </w:p>
    <w:p>
      <w:pPr>
        <w:spacing w:after="240" w:line="240" w:lineRule="atLeast"/>
      </w:pPr>
      <w:r>
        <w:rPr>
          <w:smallCaps w:val="1"/>
          <w:caps w:val="0"/>
        </w:rPr>
        <w:t xml:space="preserve">Caroni Martina</w:t>
      </w:r>
      <w:r>
        <w:rPr/>
        <w:t xml:space="preserve">/</w:t>
      </w:r>
      <w:r>
        <w:rPr>
          <w:smallCaps w:val="1"/>
          <w:caps w:val="0"/>
        </w:rPr>
        <w:t xml:space="preserve">Plozza Monika</w:t>
      </w:r>
      <w:r>
        <w:rPr/>
        <w:t xml:space="preserve">, Migrationsrechtliche Aspekte von Eheschluss, Trennung und Scheidung, in: Fankhauser, Roland (Hrsg.), Kommentar zum Familienrecht - Scheidung, 4. Auflage, Bd. 2, Bern 2022, S. 897–968</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14, in: Erika Schläppi/Silvia Ulrich/Judith Wyttenbach (Hrsg.), CEDAW, Kommentar zum Übereinkommen der Vereinten Nationen zur Beseitigung jeder Form der Diskriminierung der Frau, Bern 2015, S. 1027–1056</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15 Abs. 4, in: Erika Schläppi/Silvia Ulrich/Judith Wyttenbach (Hrsg.), CEDAW, Kommentar zum Übereinkommen der Vereinten Nationen zur Beseitigung jeder Form der Diskriminierung der Frau, Bern 2015, S. 1111–1120</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9, in: Erika Schläppi/Silvia Ulrich/Judith Wyttenbach (Hrsg.), CEDAW, Kommentar zum Übereinkommen der Vereinten Nationen zur Beseitigung jeder Form der Diskriminierung der Frau, Bern 2015, S. 647–667</w:t>
      </w:r>
    </w:p>
    <w:p>
      <w:pPr>
        <w:spacing w:after="240" w:line="240" w:lineRule="atLeast"/>
      </w:pPr>
      <w:r>
        <w:rPr>
          <w:smallCaps w:val="1"/>
          <w:caps w:val="0"/>
        </w:rPr>
        <w:t xml:space="preserve">Caroni Martina</w:t>
      </w:r>
      <w:r>
        <w:rPr/>
        <w:t xml:space="preserve">/</w:t>
      </w:r>
      <w:r>
        <w:rPr>
          <w:smallCaps w:val="1"/>
          <w:caps w:val="0"/>
        </w:rPr>
        <w:t xml:space="preserve">Hefti Angela</w:t>
      </w:r>
      <w:r>
        <w:rPr/>
        <w:t xml:space="preserve">, Art. 18 BV, in: Bernhard Waldmann/Eva Maria Belser/Astrid Epiney (Hrsg.), Basler Kommentar - Bundesverfassung, Basel 2015, S. 393–407</w:t>
      </w:r>
    </w:p>
    <w:p>
      <w:pPr>
        <w:spacing w:after="240" w:line="240" w:lineRule="atLeast"/>
      </w:pPr>
      <w:r>
        <w:rPr>
          <w:smallCaps w:val="1"/>
          <w:caps w:val="0"/>
        </w:rPr>
        <w:t xml:space="preserve">Caroni Martina</w:t>
      </w:r>
      <w:r>
        <w:rPr/>
        <w:t xml:space="preserve">, Art. 4 BV, in: Bernhard Waldmann/Eva Maria Belser/Astrid Epiney (Hrsg.), Basler Kommentar - Bundesverfassung, Basel 2015, S. 80–85</w:t>
      </w:r>
    </w:p>
    <w:p>
      <w:pPr>
        <w:spacing w:after="240" w:line="240" w:lineRule="atLeast"/>
      </w:pPr>
      <w:r>
        <w:rPr>
          <w:smallCaps w:val="1"/>
          <w:caps w:val="0"/>
        </w:rPr>
        <w:t xml:space="preserve">Caroni Martina</w:t>
      </w:r>
      <w:r>
        <w:rPr/>
        <w:t xml:space="preserve">/</w:t>
      </w:r>
      <w:r>
        <w:rPr>
          <w:smallCaps w:val="1"/>
          <w:caps w:val="0"/>
        </w:rPr>
        <w:t xml:space="preserve">de Weck Fanny</w:t>
      </w:r>
      <w:r>
        <w:rPr/>
        <w:t xml:space="preserve">/</w:t>
      </w:r>
      <w:r>
        <w:rPr>
          <w:smallCaps w:val="1"/>
          <w:caps w:val="0"/>
        </w:rPr>
        <w:t xml:space="preserve">Scheiber Nicole</w:t>
      </w:r>
      <w:r>
        <w:rPr/>
        <w:t xml:space="preserve">, Umsetzung von Art. 14 in der Schweiz, in: Erika Schläppi/Silvia Ulrich/Judith Wyttenbach (Hrsg.), CEDAW, Kommentar zum Übereinkommen der Vereinten Nationen zur Beseitigung jeder Form der Diskriminierung der Frau, Bern 2015, S. 1057–1071</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Umsetzung von Art. 15 Abs. 4 in der Schweiz, in: Erika Schläppi/Silvia Ulrich/Judith Wyttenbach (Hrsg.), CEDAW, Kommentar zum Übereinkommen der Vereinten Nationen zur Beseitigung jeder Form der Diskriminierung der Frau, Bern 2015, S. 1135–1145</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Umsetzung von Art. 9 in der Schweiz, in: Erika Schläppi/Silvia Ulrich/Judith Wyttenbach (Hrsg.), CEDAW, Kommentar zum Übereinkommen der Vereinten Nationen zur Beseitigung jeder Form der Diskriminierung der Frau, Bern 2015, S. 669–690</w:t>
      </w:r>
    </w:p>
    <w:p>
      <w:pPr>
        <w:spacing w:after="240" w:line="240" w:lineRule="atLeast"/>
      </w:pPr>
      <w:r>
        <w:rPr>
          <w:smallCaps w:val="1"/>
          <w:caps w:val="0"/>
        </w:rPr>
        <w:t xml:space="preserve">Caroni Martina</w:t>
      </w:r>
      <w:r>
        <w:rPr/>
        <w:t xml:space="preserve">/</w:t>
      </w:r>
      <w:r>
        <w:rPr>
          <w:smallCaps w:val="1"/>
          <w:caps w:val="0"/>
        </w:rPr>
        <w:t xml:space="preserve">Kälin Walter</w:t>
      </w:r>
      <w:r>
        <w:rPr/>
        <w:t xml:space="preserve">/</w:t>
      </w:r>
      <w:r>
        <w:rPr>
          <w:smallCaps w:val="1"/>
          <w:caps w:val="0"/>
        </w:rPr>
        <w:t xml:space="preserve">Heim Lukas</w:t>
      </w:r>
      <w:r>
        <w:rPr/>
        <w:t xml:space="preserve">, Commentary to Art. 33, para. 1 Refugee Convention, in: Andreas Zimmermann (Hrsg.), The 1951 Convention Relating to the Status of Refugess and its 1967 Protocol - A Commentary, Oxford 2011, S. 1327–1395</w:t>
      </w:r>
    </w:p>
    <w:p>
      <w:pPr>
        <w:spacing w:after="240" w:line="240" w:lineRule="atLeast"/>
      </w:pPr>
      <w:r>
        <w:rPr>
          <w:smallCaps w:val="1"/>
          <w:caps w:val="0"/>
        </w:rPr>
        <w:t xml:space="preserve">Caroni Martina</w:t>
      </w:r>
      <w:r>
        <w:rPr/>
        <w:t xml:space="preserve">/</w:t>
      </w:r>
      <w:r>
        <w:rPr>
          <w:smallCaps w:val="1"/>
          <w:caps w:val="0"/>
        </w:rPr>
        <w:t xml:space="preserve">Ott Lisa</w:t>
      </w:r>
      <w:r>
        <w:rPr/>
        <w:t xml:space="preserve">, Kommentierung der Art. 27-29 des Bundesgesetzes über die Ausländerinnen und Ausländer, in: Martina Caroni/Thomas Gächter/Daniela Thurnherr (Hrsg.), Bundesgesetz über die Ausländerinnen und Ausländer (AuG), Stämpflis Handkommentar, Bern 2010, S. 197–222</w:t>
      </w:r>
    </w:p>
    <w:p>
      <w:pPr>
        <w:spacing w:after="240" w:line="240" w:lineRule="atLeast"/>
      </w:pPr>
      <w:r>
        <w:rPr>
          <w:smallCaps w:val="1"/>
          <w:caps w:val="0"/>
        </w:rPr>
        <w:t xml:space="preserve">Caroni Martina</w:t>
      </w:r>
      <w:r>
        <w:rPr/>
        <w:t xml:space="preserve">, Kommentierung der Art. 42-45, 47 sowie 50-51 des Bundesgesetzes über die Ausländerinnen und Ausländer, in: Martina Caroni (Hrsg.), Bundesgesetz über die Ausländerinnen und Ausländer (AuG), Stämpflis Handkommentar, Bern 2010</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von Rütte, Barbara</w:t>
      </w:r>
      <w:r>
        <w:rPr/>
        <w:t xml:space="preserve">/</w:t>
      </w:r>
      <w:r>
        <w:rPr>
          <w:smallCaps w:val="1"/>
          <w:caps w:val="0"/>
        </w:rPr>
        <w:t xml:space="preserve">Amarelle, Cesla</w:t>
      </w:r>
      <w:r>
        <w:rPr/>
        <w:t xml:space="preserve">/</w:t>
      </w:r>
      <w:r>
        <w:rPr>
          <w:smallCaps w:val="1"/>
          <w:caps w:val="0"/>
        </w:rPr>
        <w:t xml:space="preserve">Boiler,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Müller, Andreas Th.</w:t>
      </w:r>
      <w:r>
        <w:rPr/>
        <w:t xml:space="preserve"> (Hrsg.), Jahrbuch für Migrationsrecht 2025/2026, Bern 2026</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(Hrsg.), Jahrbuch für Migrationsrecht 2024/2025, Bern 2025</w:t>
      </w:r>
    </w:p>
    <w:p>
      <w:pPr>
        <w:spacing w:after="240" w:line="240" w:lineRule="atLeast"/>
      </w:pPr>
      <w:r>
        <w:rPr>
          <w:smallCaps w:val="1"/>
          <w:caps w:val="0"/>
        </w:rPr>
        <w:t xml:space="preserve">Caroni, Martina</w:t>
      </w:r>
      <w:r>
        <w:rPr/>
        <w:t xml:space="preserve">/</w:t>
      </w:r>
      <w:r>
        <w:rPr>
          <w:smallCaps w:val="1"/>
          <w:caps w:val="0"/>
        </w:rPr>
        <w:t xml:space="preserve">Thurnherr, Daniela</w:t>
      </w:r>
      <w:r>
        <w:rPr/>
        <w:t xml:space="preserve"> (Hrsg.), Ausländer- und Integrationsgesetz (AIG), 2. Auflage, Bern 2024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(Hrsg.), Jahrbuch für Migrationsrecht 2023/2024, Jahrbuch für Migrationsrecht - Annuaire du droit de la migration, Bern 2024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(Hrsg.), Jahrbuch für Migrationsrecht 2022/2023, Bern 2023</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 Jörg</w:t>
      </w:r>
      <w:r>
        <w:rPr/>
        <w:t xml:space="preserve">/</w:t>
      </w:r>
      <w:r>
        <w:rPr>
          <w:smallCaps w:val="1"/>
          <w:caps w:val="0"/>
        </w:rPr>
        <w:t xml:space="preserve">Uebersax, Peter</w:t>
      </w:r>
      <w:r>
        <w:rPr/>
        <w:t xml:space="preserve"> (Hrsg.), Jahrbuch für Migrationsrecht 2021/2022, Bern 2022</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2020/2021, Bern 2021</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2019/2020, Jahrbuch für Migrationsrecht, Bern 2020</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2018/2019, Bern 2019</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2017/2018, Bern 2018</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2016/2017, Bern 2017</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(Hrsg.), Jahrbuch für Migrationsrecht 2015/2016, 1. Auflage, Bern 2016</w:t>
      </w:r>
    </w:p>
    <w:p>
      <w:pPr>
        <w:spacing w:after="240" w:line="240" w:lineRule="atLeast"/>
      </w:pPr>
      <w:r>
        <w:rPr>
          <w:smallCaps w:val="1"/>
          <w:caps w:val="0"/>
        </w:rPr>
        <w:t xml:space="preserve">Caroni, Martina</w:t>
      </w:r>
      <w:r>
        <w:rPr/>
        <w:t xml:space="preserve"> (Hrsg.), Wer ist das Volk?, Demokratie in der Krise - Analysen, Prozesse und Perspektive, Zürich 2016</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(Hrsg.), Jahrbuch für Migrationsrecht 2014/2015, 1. Auflage, Bern 2015</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(Hrsg.), Jahrbuch für Migrationsrecht 2013/2014, 1. Auflage, Bern 2014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(Hrsg.), Jahrbuch für Migrationsrecht 2012/2013, 1. Auflage, Bern 2013</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(Hrsg.), Jahrbuch für Migrationsrecht 2011/2012, 1. Auflage, Bern 2012</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(Hrsg.),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(Hrsg.), Jahrbuch für Migrationsrecht 2010/2011, 1. Auflage, Bern 2011</w:t>
      </w:r>
    </w:p>
    <w:p>
      <w:pPr>
        <w:spacing w:after="240" w:line="240" w:lineRule="atLeast"/>
      </w:pPr>
      <w:r>
        <w:rPr>
          <w:smallCaps w:val="1"/>
          <w:caps w:val="0"/>
        </w:rPr>
        <w:t xml:space="preserve">Caroni, Martina</w:t>
      </w:r>
      <w:r>
        <w:rPr/>
        <w:t xml:space="preserve">/</w:t>
      </w:r>
      <w:r>
        <w:rPr>
          <w:smallCaps w:val="1"/>
          <w:caps w:val="0"/>
        </w:rPr>
        <w:t xml:space="preserve">Gächter, Thomas</w:t>
      </w:r>
      <w:r>
        <w:rPr/>
        <w:t xml:space="preserve">/</w:t>
      </w:r>
      <w:r>
        <w:rPr>
          <w:smallCaps w:val="1"/>
          <w:caps w:val="0"/>
        </w:rPr>
        <w:t xml:space="preserve">Thurnherr, Daniela</w:t>
      </w:r>
      <w:r>
        <w:rPr/>
        <w:t xml:space="preserve"> (Hrsg.), Bundesgesetz über die Ausländerinnen und Ausländer (AuG) - Stämpflis Handkommentar, 1. Auflage, Bern 2010</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Jahrbuch für Migrationsrecht 2009/2010, 1. Auflage, Bern 2010</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Jahrbuch für Migrationsrecht 2008/2009, 1. Auflage, Bern 2009</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Textsammlung Migrationsrecht, 1. Auflage, Bern 2009</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Jahrbuch für Migrationsrecht 2007/2008, 1. Auflage, Bern 2008</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Jahrbuch für Migrationsrecht 2006/2007, 1. Auflage, Bern 2007</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(Hrsg.), Jahrbuch für Migrationsrecht 2005/2006, 1. Auflage, Bern 2006</w:t>
      </w:r>
    </w:p>
    <w:p>
      <w:pPr>
        <w:spacing w:after="240" w:line="240" w:lineRule="atLeast"/>
      </w:pPr>
      <w:r>
        <w:rPr>
          <w:smallCaps w:val="1"/>
          <w:caps w:val="0"/>
        </w:rPr>
        <w:t xml:space="preserve">Caroni, Martina</w:t>
      </w:r>
      <w:r>
        <w:rPr/>
        <w:t xml:space="preserve">/</w:t>
      </w:r>
      <w:r>
        <w:rPr>
          <w:smallCaps w:val="1"/>
          <w:caps w:val="0"/>
        </w:rPr>
        <w:t xml:space="preserve">Sahlfeld, Konrad</w:t>
      </w:r>
      <w:r>
        <w:rPr/>
        <w:t xml:space="preserve">/</w:t>
      </w:r>
      <w:r>
        <w:rPr>
          <w:smallCaps w:val="1"/>
          <w:caps w:val="0"/>
        </w:rPr>
        <w:t xml:space="preserve">Chudozilov, Anna</w:t>
      </w:r>
      <w:r>
        <w:rPr/>
        <w:t xml:space="preserve"> (Hrsg.), Integration und Recht, 43. Assistierendentagung Öffentliches Recht, München/Frankfurt/Basel/Genf 2003</w:t>
      </w:r>
    </w:p>
    <w:p>
      <w:pPr>
        <w:spacing w:after="240" w:line="240" w:lineRule="atLeast"/>
        <w:rPr>
          <w:b/>
          <w:bCs/>
        </w:rPr>
      </w:pPr>
      <w:r>
        <w:rPr>
          <w:b/>
          <w:bCs/>
        </w:rPr>
        <w:t xml:space="preserve">Urteilsbesprechung</w:t>
      </w:r>
    </w:p>
    <w:p>
      <w:pPr>
        <w:spacing w:after="240" w:line="240" w:lineRule="atLeast"/>
      </w:pPr>
      <w:r>
        <w:rPr>
          <w:smallCaps w:val="1"/>
          <w:caps w:val="0"/>
        </w:rPr>
        <w:t xml:space="preserve">Caroni Martina</w:t>
      </w:r>
      <w:r>
        <w:rPr/>
        <w:t xml:space="preserve">, Urteil des Verwaltungsgerichts (Verwaltungsrechtliche Abteilung) vom 30. Oktober 2025 i.S. A. gegen SID (VGE 100.2024.140), in: BVR (Bernische Verwaltungsrechtsprechung) 23.06.2026, S. 237–263</w:t>
      </w:r>
    </w:p>
    <w:p>
      <w:pPr>
        <w:spacing w:after="240" w:line="240" w:lineRule="atLeast"/>
      </w:pPr>
      <w:r>
        <w:rPr>
          <w:smallCaps w:val="1"/>
          <w:caps w:val="0"/>
        </w:rPr>
        <w:t xml:space="preserve">Caroni Martina</w:t>
      </w:r>
      <w:r>
        <w:rPr/>
        <w:t xml:space="preserve">, Urteil des Verwaltungsgerichts (Verwaltungsrechtliche Abteilung) vom 9. August 2022 i.S. A. und Mitb. gegen SID sowie Gemeinde Bern (VGE 100.2021.298), 2023, S. 5–24</w:t>
      </w:r>
    </w:p>
    <w:p>
      <w:pPr>
        <w:spacing w:after="240" w:line="240" w:lineRule="atLeast"/>
      </w:pPr>
      <w:r>
        <w:rPr>
          <w:smallCaps w:val="1"/>
          <w:caps w:val="0"/>
        </w:rPr>
        <w:t xml:space="preserve">Caroni Martina</w:t>
      </w:r>
      <w:r>
        <w:rPr/>
        <w:t xml:space="preserve">, Verweigerung der vorzeitigen Niederlassungsbewilligung an in der Schweiz geborene Jugendliche, in: BVR 2021/5/2021, S. 200–217</w:t>
      </w:r>
    </w:p>
    <w:p>
      <w:pPr>
        <w:spacing w:after="240" w:line="240" w:lineRule="atLeast"/>
      </w:pPr>
      <w:r>
        <w:rPr>
          <w:smallCaps w:val="1"/>
          <w:caps w:val="0"/>
        </w:rPr>
        <w:t xml:space="preserve">Caroni Martina</w:t>
      </w:r>
      <w:r>
        <w:rPr/>
        <w:t xml:space="preserve">, Hot expulsions an der spanisch-marokkanischen Grenze bei Melilla: Die Behandlung unbegleiteter Minderjähriger an der (europäischen Aussen-)Grenze, in: ASYL 2019/4/2019, S. 21–22</w:t>
      </w:r>
    </w:p>
    <w:p>
      <w:pPr>
        <w:spacing w:after="240" w:line="240" w:lineRule="atLeast"/>
      </w:pPr>
      <w:r>
        <w:rPr>
          <w:smallCaps w:val="1"/>
          <w:caps w:val="0"/>
        </w:rPr>
        <w:t xml:space="preserve">Caroni Martina</w:t>
      </w:r>
      <w:r>
        <w:rPr/>
        <w:t xml:space="preserve">, Besprechung des Urteils des Europäischen Gerichtshofes für Menschenrechte vom 15. Oktober 2015, L.M. et al. gegen Russland, Beschwerden Nr. 40081/14, 30088/14 sowie 40127/14, in: ASYL 2/2016, S. 31 ff.</w:t>
      </w:r>
    </w:p>
    <w:p>
      <w:pPr>
        <w:spacing w:after="240" w:line="240" w:lineRule="atLeast"/>
      </w:pPr>
      <w:r>
        <w:rPr>
          <w:smallCaps w:val="1"/>
          <w:caps w:val="0"/>
        </w:rPr>
        <w:t xml:space="preserve">Caroni Martina</w:t>
      </w:r>
      <w:r>
        <w:rPr/>
        <w:t xml:space="preserve">, Besprechung des Urteils des Europäischen Gerichtshofes für Menschenrechte vom 8. Dezember 2015, Z.H. und R.H. gegen die Schweiz, Beschwerde Nr. 60119/12, in: ASYL 1/2016, S. 21 ff.</w:t>
      </w:r>
    </w:p>
    <w:p>
      <w:pPr>
        <w:spacing w:after="240" w:line="240" w:lineRule="atLeast"/>
      </w:pPr>
      <w:r>
        <w:rPr>
          <w:smallCaps w:val="1"/>
          <w:caps w:val="0"/>
        </w:rPr>
        <w:t xml:space="preserve">Caroni Martina</w:t>
      </w:r>
      <w:r>
        <w:rPr/>
        <w:t xml:space="preserve">, Besprechung des Urteils des Europäischen Gerichtshofes für Menschenrechte vom 14. April 2015, Tatar gegen die Schweiz, Beschwerde Nr. 65692/12, in: ASYL 3/2015, S. 29 ff.</w:t>
      </w:r>
    </w:p>
    <w:p>
      <w:pPr>
        <w:spacing w:after="240" w:line="240" w:lineRule="atLeast"/>
      </w:pPr>
      <w:r>
        <w:rPr>
          <w:smallCaps w:val="1"/>
          <w:caps w:val="0"/>
        </w:rPr>
        <w:t xml:space="preserve">Caroni Martina</w:t>
      </w:r>
      <w:r>
        <w:rPr/>
        <w:t xml:space="preserve">, Besprechung des Urteils des Europäischen Gerichtshofes für Menschenrechte vom 2. Juni 2015, K.M. gegen die Schweiz, Beschwerde Nr. 6009/10, in: ASYL 3/2015, S. 30 ff.</w:t>
      </w:r>
    </w:p>
    <w:p>
      <w:pPr>
        <w:spacing w:after="240" w:line="240" w:lineRule="atLeast"/>
      </w:pPr>
      <w:r>
        <w:rPr>
          <w:smallCaps w:val="1"/>
          <w:caps w:val="0"/>
        </w:rPr>
        <w:t xml:space="preserve">Caroni Martina</w:t>
      </w:r>
      <w:r>
        <w:rPr/>
        <w:t xml:space="preserve">, Besprechung des Urteils des Schweizerischen Bundesgerichtes vom 13. Februar 2015, A. und B. gegen Amt für Migration des Kantons Bern und Polizei- und Militärdirektion des Kantons Bern, 2C_962/2013, in: ASYL 3/2015, S. 27 ff.</w:t>
      </w:r>
    </w:p>
    <w:p>
      <w:pPr>
        <w:spacing w:after="240" w:line="240" w:lineRule="atLeast"/>
      </w:pPr>
      <w:r>
        <w:rPr>
          <w:smallCaps w:val="1"/>
          <w:caps w:val="0"/>
        </w:rPr>
        <w:t xml:space="preserve">Caroni Martina</w:t>
      </w:r>
      <w:r>
        <w:rPr/>
        <w:t xml:space="preserve">, Besprechung des Urteils des Verwaltungsgerichts des Kantons Bern (Verwaltungsrechtliche Abteilung) vom 16. September 2013 i.S. A. und B. gegen POM (VGE 100.2012.399) und Urteil des Bundesgerichts vom 13. Februar 2015 (2C 962/2013), in: BVR 2015, S. 309 ff.</w:t>
      </w:r>
    </w:p>
    <w:p>
      <w:pPr>
        <w:spacing w:after="240" w:line="240" w:lineRule="atLeast"/>
      </w:pPr>
      <w:r>
        <w:rPr>
          <w:smallCaps w:val="1"/>
          <w:caps w:val="0"/>
        </w:rPr>
        <w:t xml:space="preserve">Caroni Martina</w:t>
      </w:r>
      <w:r>
        <w:rPr/>
        <w:t xml:space="preserve">, Besprechung des Urteils des Europäischen Gerichtshofes für Menschenrechte vom 17. April 2014, Papshvili v. Belgium, Beschwerde Nr. 41738/10, in: ASYL 3/2014, S. 34 ff.</w:t>
      </w:r>
    </w:p>
    <w:p>
      <w:pPr>
        <w:spacing w:after="240" w:line="240" w:lineRule="atLeast"/>
      </w:pPr>
      <w:r>
        <w:rPr>
          <w:smallCaps w:val="1"/>
          <w:caps w:val="0"/>
        </w:rPr>
        <w:t xml:space="preserve">Caroni Martina</w:t>
      </w:r>
      <w:r>
        <w:rPr/>
        <w:t xml:space="preserve">, Besprechung des Urteils des Europäischen Gerichtshofes für Menschenrechte vom 25. März 2014, Palanci v. Switzerland, Beschwerde Nr. 2607/08, in: ASYL 3/2014, S. 33 ff.</w:t>
      </w:r>
    </w:p>
    <w:p>
      <w:pPr>
        <w:spacing w:after="240" w:line="240" w:lineRule="atLeast"/>
      </w:pPr>
      <w:r>
        <w:rPr>
          <w:smallCaps w:val="1"/>
          <w:caps w:val="0"/>
        </w:rPr>
        <w:t xml:space="preserve">Caroni Martina</w:t>
      </w:r>
      <w:r>
        <w:rPr/>
        <w:t xml:space="preserve">, Besprechung des Urteils des Europäischen Gerichtshofes für Menschenrechte vom 26. November 2013, Vasquez v. Switzerland, Beschwerde Nr. 1785/08, in: ASYL 3/2014, S. 33 ff.</w:t>
      </w:r>
    </w:p>
    <w:p>
      <w:pPr>
        <w:spacing w:after="240" w:line="240" w:lineRule="atLeast"/>
      </w:pPr>
      <w:r>
        <w:rPr>
          <w:smallCaps w:val="1"/>
          <w:caps w:val="0"/>
        </w:rPr>
        <w:t xml:space="preserve">Caroni Martina</w:t>
      </w:r>
      <w:r>
        <w:rPr/>
        <w:t xml:space="preserve">, Besprechung des Urteils des Europäischen Gerichtshofes für Menschenrechte vom 27. Februar 2014, Josef v. Belgium, Beschwerde Nr. 70055/10, in: ASYL 3/2014, S. 34 ff.</w:t>
      </w:r>
    </w:p>
    <w:p>
      <w:pPr>
        <w:spacing w:after="240" w:line="240" w:lineRule="atLeast"/>
      </w:pPr>
      <w:r>
        <w:rPr>
          <w:smallCaps w:val="1"/>
          <w:caps w:val="0"/>
        </w:rPr>
        <w:t xml:space="preserve">Caroni Martina</w:t>
      </w:r>
      <w:r>
        <w:rPr/>
        <w:t xml:space="preserve">, Besprechung des Urteils des Europäischen Gerichtshofes für Menschenrechte vom 3. Juli 2014, Mohammadi v. Austria, Beschwerde Nr. 71932/12, in: ASYL 3/2014, S. 33 ff.</w:t>
      </w:r>
    </w:p>
    <w:p>
      <w:pPr>
        <w:spacing w:after="240" w:line="240" w:lineRule="atLeast"/>
      </w:pPr>
      <w:r>
        <w:rPr>
          <w:smallCaps w:val="1"/>
          <w:caps w:val="0"/>
        </w:rPr>
        <w:t xml:space="preserve">Caroni Martina</w:t>
      </w:r>
      <w:r>
        <w:rPr/>
        <w:t xml:space="preserve">, Besprechung des Urteils des Europäischen Gerichtshofes für Menschenrechten vom 24. Juni 2014, Ukaj v. Switzerland, Beschwerde Nr. 32493/08, in: ASYL 3/2014, S. 33 ff.</w:t>
      </w:r>
    </w:p>
    <w:p>
      <w:pPr>
        <w:spacing w:after="240" w:line="240" w:lineRule="atLeast"/>
      </w:pPr>
      <w:r>
        <w:rPr>
          <w:smallCaps w:val="1"/>
          <w:caps w:val="0"/>
        </w:rPr>
        <w:t xml:space="preserve">Caroni Martina</w:t>
      </w:r>
      <w:r>
        <w:rPr/>
        <w:t xml:space="preserve">, Besprechung des Urteils des Europäischen Gerichtshofes für Menschenrechte vom 1. August 2013, Horshill v. Greece, Beschwerde Nr. 70427/11, in: ASYL 1/2014, S. 24 ff.</w:t>
      </w:r>
    </w:p>
    <w:p>
      <w:pPr>
        <w:spacing w:after="240" w:line="240" w:lineRule="atLeast"/>
      </w:pPr>
      <w:r>
        <w:rPr>
          <w:smallCaps w:val="1"/>
          <w:caps w:val="0"/>
        </w:rPr>
        <w:t xml:space="preserve">Caroni Martina</w:t>
      </w:r>
      <w:r>
        <w:rPr/>
        <w:t xml:space="preserve">, Besprechung des Urteils des Europäischen Gerichtshofes für Menschenrechte vom 23. Juli 2013, Susa Musa v. Malta, Beschwerde Nr. 42337/12, in: ASYL 1/2014, S. 22 ff.</w:t>
      </w:r>
    </w:p>
    <w:p>
      <w:pPr>
        <w:spacing w:after="240" w:line="240" w:lineRule="atLeast"/>
      </w:pPr>
      <w:r>
        <w:rPr>
          <w:smallCaps w:val="1"/>
          <w:caps w:val="0"/>
        </w:rPr>
        <w:t xml:space="preserve">Caroni Martina</w:t>
      </w:r>
      <w:r>
        <w:rPr/>
        <w:t xml:space="preserve">, Besprechung des Urteils des Europäischen Gerichtshofes für Menschenrechte vom 5. September 2013, K.A.B. v. Sweden, Beschwerde Nr. 886/11, in: ASYL 1/2014, S. 25 ff.</w:t>
      </w:r>
    </w:p>
    <w:p>
      <w:pPr>
        <w:spacing w:after="240" w:line="240" w:lineRule="atLeast"/>
      </w:pPr>
      <w:r>
        <w:rPr>
          <w:smallCaps w:val="1"/>
          <w:caps w:val="0"/>
        </w:rPr>
        <w:t xml:space="preserve">Caroni Martina</w:t>
      </w:r>
      <w:r>
        <w:rPr/>
        <w:t xml:space="preserve">, Besprechung des Urteils des Europäischen Gerichtshofes für Menschenrechte vom 7. Januar 2014, A.A. v. Switzerland, Beschwerde Nr. 588/02/12, Beschwerde Nr. 22341/09, in: ASYL 1/2014, S. 21 ff.</w:t>
      </w:r>
    </w:p>
    <w:p>
      <w:pPr>
        <w:spacing w:after="240" w:line="240" w:lineRule="atLeast"/>
      </w:pPr>
      <w:r>
        <w:rPr>
          <w:smallCaps w:val="1"/>
          <w:caps w:val="0"/>
        </w:rPr>
        <w:t xml:space="preserve">Caroni Martina</w:t>
      </w:r>
      <w:r>
        <w:rPr/>
        <w:t xml:space="preserve">, Besprechung der Urteile des Europäischen Gerichtshofes für Menschenrechte vom 15. November 2012, Shala c. Suisse sowie Kissiwa Koffi c. Suisse, Beschwerden Nr. 52873/09 sowie Nr. 38005/07, in: ASYL 1/2013, S. 35 ff.</w:t>
      </w:r>
    </w:p>
    <w:p>
      <w:pPr>
        <w:spacing w:after="240" w:line="240" w:lineRule="atLeast"/>
      </w:pPr>
      <w:r>
        <w:rPr>
          <w:smallCaps w:val="1"/>
          <w:caps w:val="0"/>
        </w:rPr>
        <w:t xml:space="preserve">Caroni Martina</w:t>
      </w:r>
      <w:r>
        <w:rPr/>
        <w:t xml:space="preserve">, Besprechung des Urteils des Europäischen Gerichtshofes für Menschenrechte vom 6. November 2012, Hode and Abdi v. The United Kingdom, Beschwerde Nr. 22341/09, in: ASYL 1/2013, S. 34 ff.</w:t>
      </w:r>
    </w:p>
    <w:p>
      <w:pPr>
        <w:spacing w:after="240" w:line="240" w:lineRule="atLeast"/>
      </w:pPr>
      <w:r>
        <w:rPr>
          <w:smallCaps w:val="1"/>
          <w:caps w:val="0"/>
        </w:rPr>
        <w:t xml:space="preserve">Caroni Martina</w:t>
      </w:r>
      <w:r>
        <w:rPr/>
        <w:t xml:space="preserve">, Besprechung des Urteils des Europäischen Gerichtshofes für Menschenrechte vom 2. Februar 2012, I.M. c. France, Beschwerde Nr. 9152/09, in: ASYL 3/2012, S. 32 ff.</w:t>
      </w:r>
    </w:p>
    <w:p>
      <w:pPr>
        <w:spacing w:after="240" w:line="240" w:lineRule="atLeast"/>
      </w:pPr>
      <w:r>
        <w:rPr>
          <w:smallCaps w:val="1"/>
          <w:caps w:val="0"/>
        </w:rPr>
        <w:t xml:space="preserve">Caroni Martina</w:t>
      </w:r>
      <w:r>
        <w:rPr/>
        <w:t xml:space="preserve">, Besprechung der Mitteilung des UNO-Ausschusses gegen Folter (CAT) vom 21. November 2011, Abolghasem Faragollah et al. gegen die Schweiz, Mitteilung Nr. 381/2009, in: ASYL 2/2012, S. 37 ff.</w:t>
      </w:r>
    </w:p>
    <w:p>
      <w:pPr>
        <w:spacing w:after="240" w:line="240" w:lineRule="atLeast"/>
      </w:pPr>
      <w:r>
        <w:rPr>
          <w:smallCaps w:val="1"/>
          <w:caps w:val="0"/>
        </w:rPr>
        <w:t xml:space="preserve">Caroni Martina</w:t>
      </w:r>
      <w:r>
        <w:rPr/>
        <w:t xml:space="preserve">, Besprechung des Urteils des Schweizerischen Bundesgerichtes vom 23. November 2011, A. X. et Y. contre Service de la population du canton de Vaud, Urteil 2C_349/2011, in: ASYL 1/2012, S. 28 ff.</w:t>
      </w:r>
    </w:p>
    <w:p>
      <w:pPr>
        <w:spacing w:after="240" w:line="240" w:lineRule="atLeast"/>
      </w:pPr>
      <w:r>
        <w:rPr>
          <w:smallCaps w:val="1"/>
          <w:caps w:val="0"/>
        </w:rPr>
        <w:t xml:space="preserve">Caroni Martina</w:t>
      </w:r>
      <w:r>
        <w:rPr/>
        <w:t xml:space="preserve">, Besprechung des Urteils des Europäischen Gerichtshofes für Menschenrechte vom 20. Juli 2010, N. v. Sweden, Beschwerde Nr. 23505/09, in: ASYL 1/2011, S. 27 ff.</w:t>
      </w:r>
    </w:p>
    <w:p>
      <w:pPr>
        <w:spacing w:after="240" w:line="240" w:lineRule="atLeast"/>
      </w:pPr>
      <w:r>
        <w:rPr>
          <w:smallCaps w:val="1"/>
          <w:caps w:val="0"/>
        </w:rPr>
        <w:t xml:space="preserve">Caroni Martina</w:t>
      </w:r>
      <w:r>
        <w:rPr/>
        <w:t xml:space="preserve">, Besprechung des Urteils des Europäischen Gerichtshofes für Menschenrechte vom 18. Februar 2010, Baysakov and others v. Ukraine, Beschwerde Nr. 54131/08, in: ASYL 2/2010, S. 25 ff.</w:t>
      </w:r>
    </w:p>
    <w:p>
      <w:pPr>
        <w:spacing w:after="240" w:line="240" w:lineRule="atLeast"/>
      </w:pPr>
      <w:r>
        <w:rPr>
          <w:smallCaps w:val="1"/>
          <w:caps w:val="0"/>
        </w:rPr>
        <w:t xml:space="preserve">Caroni Martina</w:t>
      </w:r>
      <w:r>
        <w:rPr/>
        <w:t xml:space="preserve">, Besprechung des Urteils des Europäischen Gerichtshofes für Menschenrechte vom 19. Januar 2010, Muskhadzhiyeva et autres c. Belgique, Beschwerde Nr. 41442/07, in: ASYL 2/2010, S. 23 ff.</w:t>
      </w:r>
    </w:p>
    <w:p>
      <w:pPr>
        <w:spacing w:after="240" w:line="240" w:lineRule="atLeast"/>
      </w:pPr>
      <w:r>
        <w:rPr>
          <w:smallCaps w:val="1"/>
          <w:caps w:val="0"/>
        </w:rPr>
        <w:t xml:space="preserve">Caroni Martina</w:t>
      </w:r>
      <w:r>
        <w:rPr/>
        <w:t xml:space="preserve">, Besprechung des Urteils des Europäischen Gerichtshofes für Menschenrechte vom 19. Januar 2010, Z.N.S. v. Turkey, Beschwerde Nr. 21896/08, in: ASYL 2/2010, S. 22 ff.</w:t>
      </w:r>
    </w:p>
    <w:p>
      <w:pPr>
        <w:spacing w:after="240" w:line="240" w:lineRule="atLeast"/>
      </w:pPr>
      <w:r>
        <w:rPr>
          <w:smallCaps w:val="1"/>
          <w:caps w:val="0"/>
        </w:rPr>
        <w:t xml:space="preserve">Caroni Martina</w:t>
      </w:r>
      <w:r>
        <w:rPr/>
        <w:t xml:space="preserve">, Besprechung des Urteils des Verwaltungsgerichts des Kantons Zürich vom 8. Juli 2009, VB.2009.00167, in: ASYL 2/2010, S. 20 ff.</w:t>
      </w:r>
    </w:p>
    <w:p>
      <w:pPr>
        <w:spacing w:after="240" w:line="240" w:lineRule="atLeast"/>
      </w:pPr>
      <w:r>
        <w:rPr>
          <w:smallCaps w:val="1"/>
          <w:caps w:val="0"/>
        </w:rPr>
        <w:t xml:space="preserve">Caroni Martina</w:t>
      </w:r>
      <w:r>
        <w:rPr/>
        <w:t xml:space="preserve">, Besprechung des Urteils des Europäischen Gerichtshofes für Menschenrechte vom 17. Juli 2008, Na v. The United Kingdom, Beschwerde Nr. 25904/07, in: ASYL 4/2008, S. 24 ff.</w:t>
      </w:r>
    </w:p>
    <w:p>
      <w:pPr>
        <w:spacing w:after="240" w:line="240" w:lineRule="atLeast"/>
      </w:pPr>
      <w:r>
        <w:rPr>
          <w:smallCaps w:val="1"/>
          <w:caps w:val="0"/>
        </w:rPr>
        <w:t xml:space="preserve">Caroni Martina</w:t>
      </w:r>
      <w:r>
        <w:rPr/>
        <w:t xml:space="preserve">, Besprechung des Urteils des Europäischen Gerichtshofes für Menschenrechte vom 22. Mai 2008, Emre c. Suisse, Beschwerde Nr. 42034/04, in: ASYL 3/2008, S. 27 ff.</w:t>
      </w:r>
    </w:p>
    <w:p>
      <w:pPr>
        <w:spacing w:after="240" w:line="240" w:lineRule="atLeast"/>
      </w:pPr>
      <w:r>
        <w:rPr>
          <w:smallCaps w:val="1"/>
          <w:caps w:val="0"/>
        </w:rPr>
        <w:t xml:space="preserve">Caroni Martina</w:t>
      </w:r>
      <w:r>
        <w:rPr/>
        <w:t xml:space="preserve">, Besprechung des Urteils des Europäischen Gerichtshofes für Menschenrechte vom 23. Juni 2008, Maslov v. Austria, Beschwerde Nr. 1638/03, in: ASYL 3/2008, S. 26 ff.</w:t>
      </w:r>
    </w:p>
    <w:p>
      <w:pPr>
        <w:spacing w:after="240" w:line="240" w:lineRule="atLeast"/>
      </w:pPr>
      <w:r>
        <w:rPr>
          <w:smallCaps w:val="1"/>
          <w:caps w:val="0"/>
        </w:rPr>
        <w:t xml:space="preserve">Caroni Martina</w:t>
      </w:r>
      <w:r>
        <w:rPr/>
        <w:t xml:space="preserve">, Besprechung des Urteils des Europäischen Gerichtshofes für Menschenrechte vom 27. Mai 2008, N. v. The United Kingdom, Beschwerde Nr. 26565/05, in: ASYL 3/2008, S. 29 ff.</w:t>
      </w:r>
    </w:p>
    <w:p>
      <w:pPr>
        <w:spacing w:after="240" w:line="240" w:lineRule="atLeast"/>
      </w:pPr>
      <w:r>
        <w:rPr>
          <w:smallCaps w:val="1"/>
          <w:caps w:val="0"/>
        </w:rPr>
        <w:t xml:space="preserve">Caroni Martina</w:t>
      </w:r>
      <w:r>
        <w:rPr/>
        <w:t xml:space="preserve">, Besprechung des Urteils des Europäischen Gerichtshofes für Menschenrechte vom 11. Juli 2000, Beschwerde Nr. 29192/95, Ciliz gegen die Niederlande, in: ASYL 3/2000</w:t>
      </w:r>
    </w:p>
    <w:p>
      <w:pPr>
        <w:spacing w:after="240" w:line="240" w:lineRule="atLeast"/>
      </w:pPr>
      <w:r>
        <w:rPr>
          <w:smallCaps w:val="1"/>
          <w:caps w:val="0"/>
        </w:rPr>
        <w:t xml:space="preserve">Caroni Martina</w:t>
      </w:r>
      <w:r>
        <w:rPr/>
        <w:t xml:space="preserve">, Besprechung der Zulässigkeitsentscheidung des EGMR vom 1. Juli 1998, Beschwerde Nr. 35137/97, Dilek gegen die Niederlande, in: ASYL 3/1999</w:t>
      </w:r>
    </w:p>
    <w:p>
      <w:pPr>
        <w:spacing w:after="240" w:line="240" w:lineRule="atLeast"/>
      </w:pPr>
      <w:r>
        <w:rPr>
          <w:smallCaps w:val="1"/>
          <w:caps w:val="0"/>
        </w:rPr>
        <w:t xml:space="preserve">Caroni Martina</w:t>
      </w:r>
      <w:r>
        <w:rPr/>
        <w:t xml:space="preserve">, Besprechung des Art. 31-Berichtes der Europäischen Kommission für Menschenrechte vom 20. Mai 1998, Beschwerde Nr. 29192/95, Ciliz gegen die Niederlande, in: ASYL 3/1999</w:t>
      </w:r>
    </w:p>
    <w:p>
      <w:pPr>
        <w:spacing w:after="240" w:line="240" w:lineRule="atLeast"/>
        <w:rPr>
          <w:b/>
          <w:bCs/>
        </w:rPr>
      </w:pPr>
      <w:r>
        <w:rPr>
          <w:b/>
          <w:bCs/>
        </w:rPr>
        <w:t xml:space="preserve">Rezension, Editorial</w:t>
      </w:r>
    </w:p>
    <w:p>
      <w:pPr>
        <w:spacing w:after="240" w:line="240" w:lineRule="atLeast"/>
      </w:pPr>
      <w:r>
        <w:rPr>
          <w:smallCaps w:val="1"/>
          <w:caps w:val="0"/>
        </w:rPr>
        <w:t xml:space="preserve">Caroni Martina</w:t>
      </w:r>
      <w:r>
        <w:rPr/>
        <w:t xml:space="preserve">, Schweizerische Flüchtlingshilfe SFH (Hrsg.), Handbuch zum Asyl- und Wegweisungsverfahren, in: ASYL 1/23.02.2017, S. 24 ff.</w:t>
      </w:r>
    </w:p>
    <w:p>
      <w:pPr>
        <w:spacing w:after="240" w:line="240" w:lineRule="atLeast"/>
      </w:pPr>
      <w:r>
        <w:rPr>
          <w:smallCaps w:val="1"/>
          <w:caps w:val="0"/>
        </w:rPr>
        <w:t xml:space="preserve">Caroni Martina</w:t>
      </w:r>
      <w:r>
        <w:rPr/>
        <w:t xml:space="preserve">, Michel Besson, Behördliche Information vor Volksabstimmungen, Verfassungsrechtliche Anforderungen an die freie Willensbildung der Stimmberechtigten in Bund und Kantonen, Bern 2003, in: medialex 1/2003, S. 127 ff.</w:t>
      </w:r>
    </w:p>
    <w:p>
      <w:pPr>
        <w:spacing w:after="240" w:line="240" w:lineRule="atLeast"/>
      </w:pPr>
      <w:r>
        <w:rPr>
          <w:smallCaps w:val="1"/>
          <w:caps w:val="0"/>
        </w:rPr>
        <w:t xml:space="preserve">Caroni Martina</w:t>
      </w:r>
      <w:r>
        <w:rPr/>
        <w:t xml:space="preserve">, Fee Rauert, Das Kosovo - eine völkerrechtliche Studie, Wien 1999, in: International Journal of Refugee Law 2001</w:t>
      </w:r>
    </w:p>
    <w:p>
      <w:pPr>
        <w:spacing w:after="240" w:line="240" w:lineRule="atLeast"/>
      </w:pPr>
      <w:r>
        <w:rPr>
          <w:smallCaps w:val="1"/>
          <w:caps w:val="0"/>
        </w:rPr>
        <w:t xml:space="preserve">Caroni Martina</w:t>
      </w:r>
      <w:r>
        <w:rPr/>
        <w:t xml:space="preserve">, Kay Hailbronner und Eckart Klein (Hrsg.), Einwanderungskontrolle und Menschenrechte - Immigration Control and Human Rights, Beiträge anlässlich des Symposiums am 29./30. Juni 1998 in Potsdam, Heidelberg 1999, in: International Journal of Refugee Law 1999</w:t>
      </w:r>
    </w:p>
    <w:p>
      <w:pPr>
        <w:spacing w:after="240" w:line="240" w:lineRule="atLeast"/>
        <w:rPr>
          <w:b/>
          <w:bCs/>
        </w:rPr>
      </w:pPr>
      <w:r>
        <w:rPr>
          <w:b/>
          <w:bCs/>
        </w:rPr>
        <w:t xml:space="preserve">Artikel in Publikumsmedien</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w:t>
      </w:r>
      <w:r>
        <w:rPr>
          <w:smallCaps w:val="1"/>
          <w:caps w:val="0"/>
        </w:rPr>
        <w:t xml:space="preserve">Hungerbühler Dina</w:t>
      </w:r>
      <w:r>
        <w:rPr/>
        <w:t xml:space="preserve">, Anerkennung der Staatenlosigkeit, Neue Zürcher Zeitung 18.12.2024, S. 18</w:t>
      </w:r>
    </w:p>
    <w:p>
      <w:pPr>
        <w:spacing w:after="240" w:line="240" w:lineRule="atLeast"/>
      </w:pPr>
      <w:r>
        <w:rPr>
          <w:smallCaps w:val="1"/>
          <w:caps w:val="0"/>
        </w:rPr>
        <w:t xml:space="preserve">Caroni Martina</w:t>
      </w:r>
      <w:r>
        <w:rPr/>
        <w:t xml:space="preserve">, Das ist eine Diskriminierung!, Pfarreiblatt der Stadt Luzern 22/2021/2021, S. 2</w:t>
      </w:r>
    </w:p>
    <w:p>
      <w:pPr>
        <w:spacing w:after="240" w:line="240" w:lineRule="atLeast"/>
      </w:pPr>
      <w:r>
        <w:rPr>
          <w:smallCaps w:val="1"/>
          <w:caps w:val="0"/>
        </w:rPr>
        <w:t xml:space="preserve">Caroni Martina</w:t>
      </w:r>
      <w:r>
        <w:rPr/>
        <w:t xml:space="preserve">, Digital unterwegs, Kolumne, Pfarreiblatt 11/2021, S. 2</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Die Augen offen halten, Neue Zürcher Zeitung NZZ 22.10.2017, S. 12</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Die Frage der Menschenrechte für Migranten kann man nicht auslagern, Neue Zürcher Zeitung 2017, S. 14</w:t>
      </w:r>
    </w:p>
    <w:p>
      <w:pPr>
        <w:spacing w:after="240" w:line="240" w:lineRule="atLeast"/>
      </w:pPr>
      <w:r>
        <w:rPr>
          <w:smallCaps w:val="1"/>
          <w:caps w:val="0"/>
        </w:rPr>
        <w:t xml:space="preserve">Caroni Martina</w:t>
      </w:r>
      <w:r>
        <w:rPr/>
        <w:t xml:space="preserve">, Käufliche Politik?, FAMA - Feministisch-theologische Zeitschrift 3/2015, S. 14 ff.</w:t>
      </w:r>
    </w:p>
    <w:p>
      <w:pPr>
        <w:spacing w:after="240" w:line="240" w:lineRule="atLeast"/>
      </w:pPr>
      <w:r>
        <w:rPr>
          <w:smallCaps w:val="1"/>
          <w:caps w:val="0"/>
        </w:rPr>
        <w:t xml:space="preserve">Caroni Martina</w:t>
      </w:r>
      <w:r>
        <w:rPr/>
        <w:t xml:space="preserve">, Herausforderung Demokratie, Neue Zürcher Zeitung 212/13.09.2013, S. 21 ff., https://www.unilu.ch/fileadmin/shared/Publikationen/Herausforderung-Demokratie-nzz__Fr_20130913.pdf</w:t>
      </w:r>
    </w:p>
    <w:p>
      <w:pPr>
        <w:spacing w:after="240" w:line="240" w:lineRule="atLeast"/>
      </w:pPr>
      <w:r>
        <w:rPr>
          <w:smallCaps w:val="1"/>
          <w:caps w:val="0"/>
        </w:rPr>
        <w:t xml:space="preserve">Caroni Martina</w:t>
      </w:r>
      <w:r>
        <w:rPr/>
        <w:t xml:space="preserve">, Sklavinnen in der modernen Gesellschaft - Bekämpfung neuer Formen des Menschenhandels aus juristischer Sicht, Neue Zürcher Zeitung 163/15.07.2000, S. 87 ff.</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Caroni Martina</w:t>
      </w:r>
      <w:r>
        <w:rPr/>
        <w:t xml:space="preserve">/</w:t>
      </w:r>
      <w:r>
        <w:rPr>
          <w:smallCaps w:val="1"/>
          <w:caps w:val="0"/>
        </w:rPr>
        <w:t xml:space="preserve">Plozza Monika</w:t>
      </w:r>
      <w:r>
        <w:rPr/>
        <w:t xml:space="preserve">, Gutachten betreffend Beendigung der vorläufigen Aufnahme, 2020, S. 1–26, https://doi.org/10.5281/zenodo.8020665</w:t>
      </w:r>
    </w:p>
    <w:p>
      <w:pPr>
        <w:spacing w:after="240" w:line="240" w:lineRule="atLeast"/>
      </w:pPr>
      <w:r>
        <w:rPr>
          <w:smallCaps w:val="1"/>
          <w:caps w:val="0"/>
        </w:rPr>
        <w:t xml:space="preserve">Caroni Martina</w:t>
      </w:r>
      <w:r>
        <w:rPr/>
        <w:t xml:space="preserve">, Guiding Principles on Internal Displacement and Council of Europe Instruments: Convergences and Divergences, 2005</w:t>
      </w:r>
    </w:p>
    <w:p>
      <w:pPr>
        <w:spacing w:after="240" w:line="240" w:lineRule="atLeast"/>
        <w:rPr>
          <w:b/>
          <w:bCs/>
        </w:rPr>
      </w:pPr>
      <w:r>
        <w:rPr>
          <w:b/>
          <w:bCs/>
        </w:rPr>
        <w:t xml:space="preserve">Lexikonartikel</w:t>
      </w:r>
    </w:p>
    <w:p>
      <w:pPr>
        <w:spacing w:after="240" w:line="240" w:lineRule="atLeast"/>
      </w:pPr>
      <w:r>
        <w:rPr>
          <w:smallCaps w:val="1"/>
          <w:caps w:val="0"/>
        </w:rPr>
        <w:t xml:space="preserve">Caroni Martina</w:t>
      </w:r>
      <w:r>
        <w:rPr/>
        <w:t xml:space="preserve">, Migrantinnen und Migranten ohne Aufenthaltsstatus, in: Bonvin, Jean-Michel/Maeder, Pascal/Knöpfel, Carlo/Hugentobler, Valérie/Tecklenburg, Ueli (Hrsg.), Wörterbuch der Schweizer Sozialpolitik, Zürich/Genf 2020, S. 319–321</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LL.M. Martina Caroni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LL.M. Martina Caroni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