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Ass.-Prof. Dr. iur. Markus Schreiber</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smallCaps w:val="1"/>
          <w:caps w:val="0"/>
        </w:rPr>
        <w:t xml:space="preserve">Schreiber Markus</w:t>
      </w:r>
      <w:r>
        <w:rPr/>
        <w:t xml:space="preserve">, Rechtliche Innovationssteuerung am Beispiel der Power-to-Gas-Stromspeichertechnologie, Zürich 2019</w:t>
      </w:r>
    </w:p>
    <w:p>
      <w:pPr>
        <w:spacing w:after="240" w:line="240" w:lineRule="atLeast"/>
        <w:rPr>
          <w:b/>
          <w:bCs/>
        </w:rPr>
      </w:pPr>
      <w:r>
        <w:rPr>
          <w:b/>
          <w:bCs/>
        </w:rPr>
        <w:t xml:space="preserve">Zeitschriftenartikel</w:t>
      </w:r>
    </w:p>
    <w:p>
      <w:pPr>
        <w:spacing w:after="240" w:line="240" w:lineRule="atLeast"/>
      </w:pPr>
      <w:r>
        <w:rPr>
          <w:smallCaps w:val="1"/>
          <w:caps w:val="0"/>
        </w:rPr>
        <w:t xml:space="preserve">Schreiber Markus</w:t>
      </w:r>
      <w:r>
        <w:rPr/>
        <w:t xml:space="preserve">, Wasserstoff und andere erneuerbare Gase im «Mantelerlass», in: Jusletter 2024</w:t>
      </w:r>
    </w:p>
    <w:p>
      <w:pPr>
        <w:spacing w:after="240" w:line="240" w:lineRule="atLeast"/>
      </w:pPr>
      <w:r>
        <w:rPr>
          <w:smallCaps w:val="1"/>
          <w:caps w:val="0"/>
        </w:rPr>
        <w:t xml:space="preserve">Schreiber Markus</w:t>
      </w:r>
      <w:r>
        <w:rPr/>
        <w:t xml:space="preserve">, Alpine Solaranlagen, Die Umsetzung der «Solaroffensive» durch den Bundesrat, in: Syntopia Alpina 11. September 2023/2023</w:t>
      </w:r>
    </w:p>
    <w:p>
      <w:pPr>
        <w:spacing w:after="240" w:line="240" w:lineRule="atLeast"/>
      </w:pPr>
      <w:r>
        <w:rPr>
          <w:smallCaps w:val="1"/>
          <w:caps w:val="0"/>
        </w:rPr>
        <w:t xml:space="preserve">Schreiber Markus</w:t>
      </w:r>
      <w:r>
        <w:rPr/>
        <w:t xml:space="preserve">, Alpenstrom und Raumplanung, Eine kritische Betrachtung der aktuellen Gesetzgebung, in: Syntopia Alpina 6. Dezember 2022/2022, https://www.syntopia-alpina.ch/beitraege/alpenstrom-und-raumplanung-eine-kritische-betrachtung-der-aktuellen-gesetzgebung</w:t>
      </w:r>
    </w:p>
    <w:p>
      <w:pPr>
        <w:spacing w:after="240" w:line="240" w:lineRule="atLeast"/>
      </w:pPr>
      <w:r>
        <w:rPr>
          <w:smallCaps w:val="1"/>
          <w:caps w:val="0"/>
        </w:rPr>
        <w:t xml:space="preserve">Schreiber Markus</w:t>
      </w:r>
      <w:r>
        <w:rPr/>
        <w:t xml:space="preserve">, Die Nutzung des Alpenraums zur nachhaltigen Stromerzeugung, in: Schweizerisches Zentralblatt für Staats- und Verwaltungsrecht (ZBl) 123/10/2022, S. 515–546</w:t>
      </w:r>
    </w:p>
    <w:p>
      <w:pPr>
        <w:spacing w:after="240" w:line="240" w:lineRule="atLeast"/>
      </w:pPr>
      <w:r>
        <w:rPr>
          <w:smallCaps w:val="1"/>
          <w:caps w:val="0"/>
        </w:rPr>
        <w:t xml:space="preserve">Schreiber Markus</w:t>
      </w:r>
      <w:r>
        <w:rPr/>
        <w:t xml:space="preserve">, Der Rechtsrahmen einer Wasserstoffwirtschaft, in: Umweltrecht in der Praxis URP 4/2021, S. 329–355</w:t>
      </w:r>
    </w:p>
    <w:p>
      <w:pPr>
        <w:spacing w:after="240" w:line="240" w:lineRule="atLeast"/>
      </w:pPr>
      <w:r>
        <w:rPr>
          <w:smallCaps w:val="1"/>
          <w:caps w:val="0"/>
        </w:rPr>
        <w:t xml:space="preserve">Schreiber Markus</w:t>
      </w:r>
      <w:r>
        <w:rPr/>
        <w:t xml:space="preserve">/</w:t>
      </w:r>
      <w:r>
        <w:rPr>
          <w:smallCaps w:val="1"/>
          <w:caps w:val="0"/>
        </w:rPr>
        <w:t xml:space="preserve">Joss Mara</w:t>
      </w:r>
      <w:r>
        <w:rPr/>
        <w:t xml:space="preserve">, Der "Chilling Effect" auf die Grundrechtsausübung, in: Schweizerisches Zentralblatt für Staats- und Verwaltungsrecht (ZBl) 121/10/2020, S. 523–543</w:t>
      </w:r>
    </w:p>
    <w:p>
      <w:pPr>
        <w:spacing w:after="240" w:line="240" w:lineRule="atLeast"/>
      </w:pPr>
      <w:r>
        <w:rPr>
          <w:smallCaps w:val="1"/>
          <w:caps w:val="0"/>
        </w:rPr>
        <w:t xml:space="preserve">Schreiber Markus</w:t>
      </w:r>
      <w:r>
        <w:rPr/>
        <w:t xml:space="preserve">, Das Ende der ehehaften Wasserrechte? Der Entscheid des Bundesgerichts in Sachen Wasserkraftwerk Hammer, in: Aktuelle Juristische Praxis (AJP/PJA) 1/2020, S. 95–103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Forschung zum Recht der Energiewende, in: zentralinfo, Industrie- und Handelskammer Zentralschweiz IHZ 01/2020, S. 14–15</w:t>
      </w:r>
    </w:p>
    <w:p>
      <w:pPr>
        <w:spacing w:after="240" w:line="240" w:lineRule="atLeast"/>
      </w:pPr>
      <w:r>
        <w:rPr>
          <w:smallCaps w:val="1"/>
          <w:caps w:val="0"/>
        </w:rPr>
        <w:t xml:space="preserve">Schreiber Markus</w:t>
      </w:r>
      <w:r>
        <w:rPr/>
        <w:t xml:space="preserve">, Regulation of Energy Storage in the DACH Countries, in: European Energy and Environmental Law Review 29/2020, S. 168–176</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Energierecht und Zukunft der Fernwärme, in: Aqua &amp; Gas 9/2017, S. 54–57</w:t>
      </w:r>
    </w:p>
    <w:p>
      <w:pPr>
        <w:spacing w:after="240" w:line="240" w:lineRule="atLeast"/>
      </w:pPr>
      <w:r>
        <w:rPr>
          <w:smallCaps w:val="1"/>
          <w:caps w:val="0"/>
        </w:rPr>
        <w:t xml:space="preserve">Hentschel Anja</w:t>
      </w:r>
      <w:r>
        <w:rPr/>
        <w:t xml:space="preserve">/</w:t>
      </w:r>
      <w:r>
        <w:rPr>
          <w:smallCaps w:val="1"/>
          <w:caps w:val="0"/>
        </w:rPr>
        <w:t xml:space="preserve">Schreiber Markus</w:t>
      </w:r>
      <w:r>
        <w:rPr/>
        <w:t xml:space="preserve">, Erdkabel oder Freileitung? Anforderungen an den Ausbau des Stromnetzes aufgrund der Energiestrategie 2050 und der Strategie Stromnetze, in: Jusletter 19. Dezember/2016</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Rechtliche Grundlagen der Fernwärme, in: Jusletter 19. Dezember/2016</w:t>
      </w:r>
    </w:p>
    <w:p>
      <w:pPr>
        <w:spacing w:after="240" w:line="240" w:lineRule="atLeast"/>
      </w:pPr>
      <w:r>
        <w:rPr>
          <w:smallCaps w:val="1"/>
          <w:caps w:val="0"/>
        </w:rPr>
        <w:t xml:space="preserve">Schreiber Markus</w:t>
      </w:r>
      <w:r>
        <w:rPr/>
        <w:t xml:space="preserve">, Die Zuständigkeit in energierechtlichen Verfahren mit Kartellrechtsbezug, Eine Untersuchung zum Verhältnis der §§ 87, 89 GWB und 102, 103 EnWG, in: Recht der Energiewirtschaft; RdE 6/2015, S. 236–241</w:t>
      </w:r>
    </w:p>
    <w:p>
      <w:pPr>
        <w:spacing w:after="240" w:line="240" w:lineRule="atLeast"/>
      </w:pPr>
      <w:r>
        <w:rPr>
          <w:smallCaps w:val="1"/>
          <w:caps w:val="0"/>
        </w:rPr>
        <w:t xml:space="preserve">Schreiber Markus</w:t>
      </w:r>
      <w:r>
        <w:rPr/>
        <w:t xml:space="preserve">, Rechtsfragen der Photovoltaik, in: Jusletter 30. November/2015</w:t>
      </w:r>
    </w:p>
    <w:p>
      <w:pPr>
        <w:spacing w:after="240" w:line="240" w:lineRule="atLeast"/>
      </w:pPr>
      <w:r>
        <w:rPr>
          <w:smallCaps w:val="1"/>
          <w:caps w:val="0"/>
        </w:rPr>
        <w:t xml:space="preserve">Schreiber Markus</w:t>
      </w:r>
      <w:r>
        <w:rPr/>
        <w:t xml:space="preserve">/</w:t>
      </w:r>
      <w:r>
        <w:rPr>
          <w:smallCaps w:val="1"/>
          <w:caps w:val="0"/>
        </w:rPr>
        <w:t xml:space="preserve">Tscharner Celina</w:t>
      </w:r>
      <w:r>
        <w:rPr/>
        <w:t xml:space="preserve">, Rechtsichere Vergabe von Verteilnetzkonzessionen, in: Jusletter 27. Oktober/2014</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Schreiber Markus</w:t>
      </w:r>
      <w:r>
        <w:rPr/>
        <w:t xml:space="preserve">, Alpine Solaranlagen im Bundesrecht, in: Urner Institut Kulturen der Alpen (Hrsg.), Sonnenstrom, Alpine Energielandschaften im Umbruch, Zürich 2025, S. 30–38</w:t>
      </w:r>
    </w:p>
    <w:p>
      <w:pPr>
        <w:spacing w:after="240" w:line="240" w:lineRule="atLeast"/>
      </w:pPr>
      <w:r>
        <w:rPr>
          <w:smallCaps w:val="1"/>
          <w:caps w:val="0"/>
        </w:rPr>
        <w:t xml:space="preserve">Schreiber Markus</w:t>
      </w:r>
      <w:r>
        <w:rPr/>
        <w:t xml:space="preserve">, Die bilateralen Beziehungen der EU und der Schweiz im Energiesektor, in: Mathis, Klaus/Norer, Roland/Pégorier, Clotilde/Perrin, Jonas/Schreiber, Markus (Hrsg.), Schutz von Mensch und Umwelt im europäischen Kontext, Festschrift für Sebastian Heselhaus zum 65. Geburtstag, Berlin 2025, S. 297–320</w:t>
      </w:r>
    </w:p>
    <w:p>
      <w:pPr>
        <w:spacing w:after="240" w:line="240" w:lineRule="atLeast"/>
      </w:pPr>
      <w:r>
        <w:rPr>
          <w:smallCaps w:val="1"/>
          <w:caps w:val="0"/>
        </w:rPr>
        <w:t xml:space="preserve">Schreiber Markus</w:t>
      </w:r>
      <w:r>
        <w:rPr/>
        <w:t xml:space="preserve">, Regulierungsinstrumente der Innovationsförderung, in: Baumann, Phil/Seiler, Hansjörg/Winistörfer, Marc M. (Hrsg.), Die Vielfalt der rechtlichen Regulierungsinstrumente: Eine kritische Betrachtung, Band zur 1. Nachwuchstagung des Luzerner Instituts für Wirtschaft und Regulierung - WiRe, Zürich 2025, S. 155–174</w:t>
      </w:r>
    </w:p>
    <w:p>
      <w:pPr>
        <w:spacing w:after="240" w:line="240" w:lineRule="atLeast"/>
      </w:pPr>
      <w:r>
        <w:rPr>
          <w:smallCaps w:val="1"/>
          <w:caps w:val="0"/>
        </w:rPr>
        <w:t xml:space="preserve">Schreiber Markus</w:t>
      </w:r>
      <w:r>
        <w:rPr/>
        <w:t xml:space="preserve">, Der rechtlich-politische Rahmen im europäischen Kontext, Integration vs. Isolation, in: Schillig, Ivo/Previšić, Boris (Hrsg.), Die Alpen für eine klimapositive Schweiz, Altdorf 2024, S. 84–95, https://zenodo.org/records/10380389</w:t>
      </w:r>
    </w:p>
    <w:p>
      <w:pPr>
        <w:spacing w:after="240" w:line="240" w:lineRule="atLeast"/>
      </w:pPr>
      <w:r>
        <w:rPr>
          <w:smallCaps w:val="1"/>
          <w:caps w:val="0"/>
        </w:rPr>
        <w:t xml:space="preserve">Schreiber Markus</w:t>
      </w:r>
      <w:r>
        <w:rPr/>
        <w:t xml:space="preserve">, Gesetzliche Möglichkeitsräume für Photovoltaik und Windkraft in den Alpen, in: Schillig, Ivo/Previšić, Boris (Hrsg.), Die Alpen für eine klimapositive Schweiz, Altdorf 2024, S. 54–66, https://zenodo.org/records/10380389</w:t>
      </w:r>
    </w:p>
    <w:p>
      <w:pPr>
        <w:spacing w:after="240" w:line="240" w:lineRule="atLeast"/>
      </w:pPr>
      <w:r>
        <w:rPr>
          <w:smallCaps w:val="1"/>
          <w:caps w:val="0"/>
        </w:rPr>
        <w:t xml:space="preserve">Schreiber Markus</w:t>
      </w:r>
      <w:r>
        <w:rPr/>
        <w:t xml:space="preserve">/</w:t>
      </w:r>
      <w:r>
        <w:rPr>
          <w:smallCaps w:val="1"/>
          <w:caps w:val="0"/>
        </w:rPr>
        <w:t xml:space="preserve">Lustenberger Sibylle</w:t>
      </w:r>
      <w:r>
        <w:rPr/>
        <w:t xml:space="preserve">/</w:t>
      </w:r>
      <w:r>
        <w:rPr>
          <w:smallCaps w:val="1"/>
          <w:caps w:val="0"/>
        </w:rPr>
        <w:t xml:space="preserve">De Pretto Sebastian</w:t>
      </w:r>
      <w:r>
        <w:rPr/>
        <w:t xml:space="preserve">, Rechtliche Regulierungen, in: Schillig, Ivo/Previšić, Boris (Hrsg.), Die Alpen für eine klimapositive Schweiz, Altdorf 2024, S. 112–114, https://zenodo.org/records/10380389</w:t>
      </w:r>
    </w:p>
    <w:p>
      <w:pPr>
        <w:spacing w:after="240" w:line="240" w:lineRule="atLeast"/>
      </w:pPr>
      <w:r>
        <w:rPr>
          <w:smallCaps w:val="1"/>
          <w:caps w:val="0"/>
        </w:rPr>
        <w:t xml:space="preserve">Schreiber Markus</w:t>
      </w:r>
      <w:r>
        <w:rPr/>
        <w:t xml:space="preserve">, Aktuelle Entwicklungen im Europäischen Energierecht, in: Epiney, Astrid/Progin-Theuerkauf, Sarah/Dahinden, Flaminia/Zlatescu, Petru Emanuel (Hrsg.), Schweizerisches Jahrbuch für Europarecht 2022/2023, Bern; Zürich 2023, S. 195–217</w:t>
      </w:r>
    </w:p>
    <w:p>
      <w:pPr>
        <w:spacing w:after="240" w:line="240" w:lineRule="atLeast"/>
      </w:pPr>
      <w:r>
        <w:rPr>
          <w:smallCaps w:val="1"/>
          <w:caps w:val="0"/>
        </w:rPr>
        <w:t xml:space="preserve">Schreiber Markus</w:t>
      </w:r>
      <w:r>
        <w:rPr/>
        <w:t xml:space="preserve">, Die Förderung emissionsfreier Antriebe im Strassenverkehrsrecht, in: Landolt, Hardy/Dähler, Manfred (Hrsg.), Jahrbuch zum Strassenverkehrsrecht 2023, Zürich/St. Gallen 2023, S. 31–56</w:t>
      </w:r>
    </w:p>
    <w:p>
      <w:pPr>
        <w:spacing w:after="240" w:line="240" w:lineRule="atLeast"/>
      </w:pPr>
      <w:r>
        <w:rPr>
          <w:smallCaps w:val="1"/>
          <w:caps w:val="0"/>
        </w:rPr>
        <w:t xml:space="preserve">Schreiber Markus</w:t>
      </w:r>
      <w:r>
        <w:rPr/>
        <w:t xml:space="preserve">, Technologieneutralität im Energierecht, Wirtschaftlich-rechtlicher Anspruch und politische Wirklichkeit, in: Nobel, Peter/Baumann, Alexander Gian-Carlo/Aliverti, Elias (Hrsg.), Law and Economics in all seinen Facetten, Festschrift zu Ehren von Klaus Mathis, Berlin 2023, S. 329–363</w:t>
      </w:r>
    </w:p>
    <w:p>
      <w:pPr>
        <w:spacing w:after="240" w:line="240" w:lineRule="atLeast"/>
      </w:pPr>
      <w:r>
        <w:rPr>
          <w:smallCaps w:val="1"/>
          <w:caps w:val="0"/>
        </w:rPr>
        <w:t xml:space="preserve">Schreiber Markus</w:t>
      </w:r>
      <w:r>
        <w:rPr/>
        <w:t xml:space="preserve">, Governance of Energy Innovations, in: Hettich, Peter/Kachi, Aya (Hrsg.), Swiss Energy Governance, Political, Economic and Legal Challenges and Opportunities in the Energy Transition, Cham 2022, S. 175–193, https://link.springer.com/book/10.1007/978-3-030-80787-0</w:t>
      </w:r>
    </w:p>
    <w:p>
      <w:pPr>
        <w:spacing w:after="240" w:line="240" w:lineRule="atLeast"/>
      </w:pPr>
      <w:r>
        <w:rPr>
          <w:smallCaps w:val="1"/>
          <w:caps w:val="0"/>
        </w:rPr>
        <w:t xml:space="preserve">Schreiber Markus</w:t>
      </w:r>
      <w:r>
        <w:rPr/>
        <w:t xml:space="preserve">, Kapitel 11: Wärmeversorgung, Schriften zum Energierecht, in: Heselhaus, Sebastian/Schreiber, Markus/Zumoberhaus, Marion (Hrsg.), Handbuch zum schweizerischen Energierecht, Bd. 22, Zürich 2022, S. 189–204</w:t>
      </w:r>
    </w:p>
    <w:p>
      <w:pPr>
        <w:spacing w:after="240" w:line="240" w:lineRule="atLeast"/>
      </w:pPr>
      <w:r>
        <w:rPr>
          <w:smallCaps w:val="1"/>
          <w:caps w:val="0"/>
        </w:rPr>
        <w:t xml:space="preserve">Schreiber Markus</w:t>
      </w:r>
      <w:r>
        <w:rPr/>
        <w:t xml:space="preserve">, Kapitel 13: Speichertechnologien, Schriften zum Energierecht, in: Heselhaus, Sebastian/Schreiber, Markus/Zumoberhaus, Marion (Hrsg.), Handbuch zum schweizerischen Energierecht, Bd. 22, Zürich 2022, S. 223–234</w:t>
      </w:r>
    </w:p>
    <w:p>
      <w:pPr>
        <w:spacing w:after="240" w:line="240" w:lineRule="atLeast"/>
      </w:pPr>
      <w:r>
        <w:rPr>
          <w:smallCaps w:val="1"/>
          <w:caps w:val="0"/>
        </w:rPr>
        <w:t xml:space="preserve">Schreiber Markus</w:t>
      </w:r>
      <w:r>
        <w:rPr/>
        <w:t xml:space="preserve">, Kapitel 15: Strommarkt und Netzregulierung, Schriften zum Energierecht, in: Heselhaus, Sebastian/Schreiber, Markus/Zumoberhaus, Marion (Hrsg.), Handbuch zum schweizerischen Energierecht, Bd. 22, Zürich 2022, S. 249–277</w:t>
      </w:r>
    </w:p>
    <w:p>
      <w:pPr>
        <w:spacing w:after="240" w:line="240" w:lineRule="atLeast"/>
      </w:pPr>
      <w:r>
        <w:rPr>
          <w:smallCaps w:val="1"/>
          <w:caps w:val="0"/>
        </w:rPr>
        <w:t xml:space="preserve">Schreiber Markus</w:t>
      </w:r>
      <w:r>
        <w:rPr/>
        <w:t xml:space="preserve">, Kapitel 16: Gasmarkt und Gasnetzregulierung, Schriften zum Energierecht, in: Heselhaus, Sebastian/Schreiber, Markus/Zumoberhaus, Marion (Hrsg.), Handbuch zum schweizerischen Energierecht, Bd. 22, Zürich 2022, S. 279–291</w:t>
      </w:r>
    </w:p>
    <w:p>
      <w:pPr>
        <w:spacing w:after="240" w:line="240" w:lineRule="atLeast"/>
      </w:pPr>
      <w:r>
        <w:rPr>
          <w:smallCaps w:val="1"/>
          <w:caps w:val="0"/>
        </w:rPr>
        <w:t xml:space="preserve">Schreiber Markus</w:t>
      </w:r>
      <w:r>
        <w:rPr/>
        <w:t xml:space="preserve">, Kapitel 1: Einführung, Schriften zum Energierecht, in: Heselhaus, Sebastian/Schreiber, Markus/Zumoberhaus, Marion (Hrsg.), Handbuch zum schweizerischen Energierecht, Bd. 22, Zürich 2022, S. 3–15</w:t>
      </w:r>
    </w:p>
    <w:p>
      <w:pPr>
        <w:spacing w:after="240" w:line="240" w:lineRule="atLeast"/>
      </w:pPr>
      <w:r>
        <w:rPr>
          <w:smallCaps w:val="1"/>
          <w:caps w:val="0"/>
        </w:rPr>
        <w:t xml:space="preserve">Schreiber Markus</w:t>
      </w:r>
      <w:r>
        <w:rPr/>
        <w:t xml:space="preserve">, Kapitel 3: Verfassungsrechtliche Grundlagen, Schriften zum Energierecht, in: Heselhaus, Sebastian/Schreiber, Markus/Zumoberhaus, Marion (Hrsg.), Handbuch zum schweizerischen Energierecht, Bd. 22, Zürich 2022, S. 29–47</w:t>
      </w:r>
    </w:p>
    <w:p>
      <w:pPr>
        <w:spacing w:after="240" w:line="240" w:lineRule="atLeast"/>
      </w:pPr>
      <w:r>
        <w:rPr>
          <w:smallCaps w:val="1"/>
          <w:caps w:val="0"/>
        </w:rPr>
        <w:t xml:space="preserve">Joss Mara</w:t>
      </w:r>
      <w:r>
        <w:rPr/>
        <w:t xml:space="preserve">/</w:t>
      </w:r>
      <w:r>
        <w:rPr>
          <w:smallCaps w:val="1"/>
          <w:caps w:val="0"/>
        </w:rPr>
        <w:t xml:space="preserve">Schreiber Markus</w:t>
      </w:r>
      <w:r>
        <w:rPr/>
        <w:t xml:space="preserve">/</w:t>
      </w:r>
      <w:r>
        <w:rPr>
          <w:smallCaps w:val="1"/>
          <w:caps w:val="0"/>
        </w:rPr>
        <w:t xml:space="preserve">Zumoberhaus Marion</w:t>
      </w:r>
      <w:r>
        <w:rPr/>
        <w:t xml:space="preserve">, Kapitel 5: Förderung erneuerbarer Energien, Schriften zum Energierecht, in: Heselhaus, Sebastian/Schreiber, Markus/Zumoberhaus, Marion (Hrsg.), Handbuch zum schweizerischen Energierecht, Bd. 22, Zürich 2022, S. 67–84</w:t>
      </w:r>
    </w:p>
    <w:p>
      <w:pPr>
        <w:spacing w:after="240" w:line="240" w:lineRule="atLeast"/>
      </w:pPr>
      <w:r>
        <w:rPr>
          <w:smallCaps w:val="1"/>
          <w:caps w:val="0"/>
        </w:rPr>
        <w:t xml:space="preserve">Schreiber Markus</w:t>
      </w:r>
      <w:r>
        <w:rPr/>
        <w:t xml:space="preserve">, Kapitel 6: Wasserkraft, Schriften zum Energierecht, in: Heselhaus, Sebastian/Schreiber, Markus/Zumoberhaus, Marion (Hrsg.), Handbuch zum schweizerischen Energierecht, Bd. 22, Zürich 2022, S. 85–108</w:t>
      </w:r>
    </w:p>
    <w:p>
      <w:pPr>
        <w:spacing w:after="240" w:line="240" w:lineRule="atLeast"/>
      </w:pPr>
      <w:r>
        <w:rPr>
          <w:smallCaps w:val="1"/>
          <w:caps w:val="0"/>
        </w:rPr>
        <w:t xml:space="preserve">Joss Mara</w:t>
      </w:r>
      <w:r>
        <w:rPr/>
        <w:t xml:space="preserve">/</w:t>
      </w:r>
      <w:r>
        <w:rPr>
          <w:smallCaps w:val="1"/>
          <w:caps w:val="0"/>
        </w:rPr>
        <w:t xml:space="preserve">Schreiber Markus</w:t>
      </w:r>
      <w:r>
        <w:rPr/>
        <w:t xml:space="preserve">, Kapitel 7: Photovoltaik, Schriften zum Energierecht, in: Heselhaus, Sebastian/Schreiber, Markus/Zumoberhaus, Marion (Hrsg.), Handbuch zum schweizerischen Energierecht, Bd. 22, Zürich 2022, S. 109–133</w:t>
      </w:r>
    </w:p>
    <w:p>
      <w:pPr>
        <w:spacing w:after="240" w:line="240" w:lineRule="atLeast"/>
      </w:pPr>
      <w:r>
        <w:rPr>
          <w:smallCaps w:val="1"/>
          <w:caps w:val="0"/>
        </w:rPr>
        <w:t xml:space="preserve">Schreiber Markus</w:t>
      </w:r>
      <w:r>
        <w:rPr/>
        <w:t xml:space="preserve">, Kapitel 9: Geothermie, Schriften zum Energierecht, in: Heselhaus, Sebastian/Schreiber, Markus/Zumoberhaus, Marion (Hrsg.), Handbuch zum schweizerischen Energierecht, Bd. 22, Zürich 2022, S. 155–171</w:t>
      </w:r>
    </w:p>
    <w:p>
      <w:pPr>
        <w:spacing w:after="240" w:line="240" w:lineRule="atLeast"/>
      </w:pPr>
      <w:r>
        <w:rPr>
          <w:smallCaps w:val="1"/>
          <w:caps w:val="0"/>
        </w:rPr>
        <w:t xml:space="preserve">Schreiber Markus</w:t>
      </w:r>
      <w:r>
        <w:rPr/>
        <w:t xml:space="preserve">, Regulating Innovation, Economic Analysis of Law in European Legal Scholarship, in: Mathis, Klaus/Tor, Avishalom (Hrsg.), Law and Economics of Regulation, Bd. 11, Cham 2021, S. 273–305</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 38 Zugang zu Dienstleistungen von allgemeinem wirtschaftlichem Interesse, in: Heselhaus, Sebastian/Nowak, Carsten (Hrsg.), Handbuch der Europäischen Grundrechte, 2. Aufl., München 2020, S. 874–884</w:t>
      </w:r>
    </w:p>
    <w:p>
      <w:pPr>
        <w:spacing w:after="240" w:line="240" w:lineRule="atLeast"/>
      </w:pPr>
      <w:r>
        <w:rPr>
          <w:smallCaps w:val="1"/>
          <w:caps w:val="0"/>
        </w:rPr>
        <w:t xml:space="preserve">Haux Dario Henri</w:t>
      </w:r>
      <w:r>
        <w:rPr/>
        <w:t xml:space="preserve">/</w:t>
      </w:r>
      <w:r>
        <w:rPr>
          <w:smallCaps w:val="1"/>
          <w:caps w:val="0"/>
        </w:rPr>
        <w:t xml:space="preserve">Picecchi Dario</w:t>
      </w:r>
      <w:r>
        <w:rPr/>
        <w:t xml:space="preserve">/</w:t>
      </w:r>
      <w:r>
        <w:rPr>
          <w:smallCaps w:val="1"/>
          <w:caps w:val="0"/>
        </w:rPr>
        <w:t xml:space="preserve">Schreiber Markus</w:t>
      </w:r>
      <w:r>
        <w:rPr/>
        <w:t xml:space="preserve">, Einleitung, Risikokontrolle durch rechtliche Regulierung?, in: Haux, Dario Henri/Picecchi, Dario/Schreiber Markus (Hrsg.), Recht und Risiko, Zürich/Basel/Genf 2019, S. 1 ff.</w:t>
      </w:r>
    </w:p>
    <w:p>
      <w:pPr>
        <w:spacing w:after="240" w:line="240" w:lineRule="atLeast"/>
      </w:pPr>
      <w:r>
        <w:rPr>
          <w:smallCaps w:val="1"/>
          <w:caps w:val="0"/>
        </w:rPr>
        <w:t xml:space="preserve">Schreiber Markus</w:t>
      </w:r>
      <w:r>
        <w:rPr/>
        <w:t xml:space="preserve">, Restrisiko vs. Nullrisiko bei technischen Innovationen, Luzerner Beiträge zur Rechtswissenschaft, in: Haux Dario/Picecchi Dario/Schreiber Markus (Hrsg.), Recht und Risiko, Junge Rechtswissenschaft Luzern, Bd. 134, Zürich 2019, S. 29–52</w:t>
      </w:r>
    </w:p>
    <w:p>
      <w:pPr>
        <w:spacing w:after="240" w:line="240" w:lineRule="atLeast"/>
      </w:pPr>
      <w:r>
        <w:rPr>
          <w:smallCaps w:val="1"/>
          <w:caps w:val="0"/>
        </w:rPr>
        <w:t xml:space="preserve">Haux Dario Henri</w:t>
      </w:r>
      <w:r>
        <w:rPr/>
        <w:t xml:space="preserve">/</w:t>
      </w:r>
      <w:r>
        <w:rPr>
          <w:smallCaps w:val="1"/>
          <w:caps w:val="0"/>
        </w:rPr>
        <w:t xml:space="preserve">Picecchi Dario</w:t>
      </w:r>
      <w:r>
        <w:rPr/>
        <w:t xml:space="preserve">/</w:t>
      </w:r>
      <w:r>
        <w:rPr>
          <w:smallCaps w:val="1"/>
          <w:caps w:val="0"/>
        </w:rPr>
        <w:t xml:space="preserve">Schreiber Markus</w:t>
      </w:r>
      <w:r>
        <w:rPr/>
        <w:t xml:space="preserve">, Schlussfolgerungen, Die richtige Balance zwischen Über- und Unterregulierung, in: Haux, Dario Henri/Picecchi, Dario/Schreiber Markus (Hrsg.), Recht und Risiko, Zürich/Basel/Genf 2019, S. 233 ff.</w:t>
      </w:r>
    </w:p>
    <w:p>
      <w:pPr>
        <w:spacing w:after="240" w:line="240" w:lineRule="atLeast"/>
      </w:pPr>
      <w:r>
        <w:rPr>
          <w:smallCaps w:val="1"/>
          <w:caps w:val="0"/>
        </w:rPr>
        <w:t xml:space="preserve">Schreiber Markus</w:t>
      </w:r>
      <w:r>
        <w:rPr/>
        <w:t xml:space="preserve">, Capacity Mechanisms: An Intervention Needed in Failing Markets?, Economic Analysis of Law in European Legal Scholarship, in: Mathis, Klaus/Huber, Bruce R. (Hrsg.), Energy Law and Economics, Bd. 5, Cham 2018, S. 211–237</w:t>
      </w:r>
    </w:p>
    <w:p>
      <w:pPr>
        <w:spacing w:after="240" w:line="240" w:lineRule="atLeast"/>
      </w:pPr>
      <w:r>
        <w:rPr>
          <w:smallCaps w:val="1"/>
          <w:caps w:val="0"/>
        </w:rPr>
        <w:t xml:space="preserve">Schreiber Markus</w:t>
      </w:r>
      <w:r>
        <w:rPr/>
        <w:t xml:space="preserve">, E-Mobility in der Schweiz, Schriften der Assistierenden der Universität St. Gallen, in: Bernet, Stephanie/Gertsch, Gabriel/Harasgama, Rehana/Schister, Roman (Hrsg.), Mobilität – Mobilité – Mobility.Recht der mobilen Gesellschaft, Bd. 10, Zürich/St. Gallen 2016, S. 43–68</w:t>
      </w:r>
    </w:p>
    <w:p>
      <w:pPr>
        <w:spacing w:after="240" w:line="240" w:lineRule="atLeast"/>
      </w:pPr>
      <w:r>
        <w:rPr>
          <w:smallCaps w:val="1"/>
          <w:caps w:val="0"/>
        </w:rPr>
        <w:t xml:space="preserve">Hentschel Anja</w:t>
      </w:r>
      <w:r>
        <w:rPr/>
        <w:t xml:space="preserve">/</w:t>
      </w:r>
      <w:r>
        <w:rPr>
          <w:smallCaps w:val="1"/>
          <w:caps w:val="0"/>
        </w:rPr>
        <w:t xml:space="preserve">Schreiber Markus</w:t>
      </w:r>
      <w:r>
        <w:rPr/>
        <w:t xml:space="preserve">, Erdkabel im Höchstspannungsbereich, Anforderungen in Deutschland und in der Schweiz, Umwelt- und Technikrecht, in: Hebeler, Timo/Hofmann, Ekkehard/Proelss, Alexander/Reiff, Peter (Hrsg.), Jahrbuch des Umwelt- und Technikrechts 2016, Bd. 131, Berlin 2016, S. 197–231</w:t>
      </w:r>
    </w:p>
    <w:p>
      <w:pPr>
        <w:spacing w:after="240" w:line="240" w:lineRule="atLeast"/>
        <w:rPr>
          <w:b/>
          <w:bCs/>
        </w:rPr>
      </w:pPr>
      <w:r>
        <w:rPr>
          <w:b/>
          <w:bCs/>
        </w:rPr>
        <w:t xml:space="preserve">Konferenzbeitrag in einem Konferenz-Band</w:t>
      </w:r>
    </w:p>
    <w:p>
      <w:pPr>
        <w:spacing w:after="240" w:line="240" w:lineRule="atLeast"/>
      </w:pPr>
      <w:r>
        <w:rPr>
          <w:smallCaps w:val="1"/>
          <w:caps w:val="0"/>
        </w:rPr>
        <w:t xml:space="preserve">Schreiber Markus</w:t>
      </w:r>
      <w:r>
        <w:rPr/>
        <w:t xml:space="preserve">, Rechtsprechung zur Photovoltaik, Integrierte vs. angebaute Anlagen, Schriften zum Energierecht, in: Heselhaus, Sebastian/Schreiber, Markus (Hrsg.), Energierechtstagung 2019, Tagungsband zur 2. Energierechtstagung an der Universität Luzern vom 31. Januar 2019, Bd. 12, Zürich; St. Gallen 2019, S. 71–97</w:t>
      </w:r>
    </w:p>
    <w:p>
      <w:pPr>
        <w:spacing w:after="240" w:line="240" w:lineRule="atLeast"/>
        <w:rPr>
          <w:b/>
          <w:bCs/>
        </w:rPr>
      </w:pPr>
      <w:r>
        <w:rPr>
          <w:b/>
          <w:bCs/>
        </w:rPr>
        <w:t xml:space="preserve">Beitrag in einem Kommentar</w:t>
      </w:r>
    </w:p>
    <w:p>
      <w:pPr>
        <w:spacing w:after="240" w:line="240" w:lineRule="atLeast"/>
      </w:pPr>
      <w:r>
        <w:rPr>
          <w:smallCaps w:val="1"/>
          <w:caps w:val="0"/>
        </w:rPr>
        <w:t xml:space="preserve">Schreiber Markus</w:t>
      </w:r>
      <w:r>
        <w:rPr/>
        <w:t xml:space="preserve">, Art. 81 BV, in: Schlegel, Stefan/Ammann, Odile (Hrsg.), Onlinekommentar Bundesverfassung, Der frei zugängliche Rechtskommentar, 2026, https://doi.org/10.17176/20260126-103243-0</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Hänni, Julia</w:t>
      </w:r>
      <w:r>
        <w:rPr/>
        <w:t xml:space="preserve">/</w:t>
      </w:r>
      <w:r>
        <w:rPr>
          <w:smallCaps w:val="1"/>
          <w:caps w:val="0"/>
        </w:rPr>
        <w:t xml:space="preserve">Schreiber, Markus</w:t>
      </w:r>
      <w:r>
        <w:rPr/>
        <w:t xml:space="preserve"> (Hrsg.), TEXTO Öff. Recht II, Bildungs- und Forschungsrecht, Raumplanungs- und Umweltrecht, Infrastrukturrecht, Öffentliches Wirtschaftsrecht, Texto Gesetzesausgabe, 7. Aufl., Basel 2026</w:t>
      </w:r>
    </w:p>
    <w:p>
      <w:pPr>
        <w:spacing w:after="240" w:line="240" w:lineRule="atLeast"/>
      </w:pPr>
      <w:r>
        <w:rPr>
          <w:smallCaps w:val="1"/>
          <w:caps w:val="0"/>
        </w:rPr>
        <w:t xml:space="preserve">Mathis, Klaus</w:t>
      </w:r>
      <w:r>
        <w:rPr/>
        <w:t xml:space="preserve">/</w:t>
      </w:r>
      <w:r>
        <w:rPr>
          <w:smallCaps w:val="1"/>
          <w:caps w:val="0"/>
        </w:rPr>
        <w:t xml:space="preserve">Norer, Roland</w:t>
      </w:r>
      <w:r>
        <w:rPr/>
        <w:t xml:space="preserve">/</w:t>
      </w:r>
      <w:r>
        <w:rPr>
          <w:smallCaps w:val="1"/>
          <w:caps w:val="0"/>
        </w:rPr>
        <w:t xml:space="preserve">Pégorier, Clotilde</w:t>
      </w:r>
      <w:r>
        <w:rPr/>
        <w:t xml:space="preserve">/</w:t>
      </w:r>
      <w:r>
        <w:rPr>
          <w:smallCaps w:val="1"/>
          <w:caps w:val="0"/>
        </w:rPr>
        <w:t xml:space="preserve">Perrin, Jonas</w:t>
      </w:r>
      <w:r>
        <w:rPr/>
        <w:t xml:space="preserve">/</w:t>
      </w:r>
      <w:r>
        <w:rPr>
          <w:smallCaps w:val="1"/>
          <w:caps w:val="0"/>
        </w:rPr>
        <w:t xml:space="preserve">Schreiber, Markus.</w:t>
      </w:r>
      <w:r>
        <w:rPr/>
        <w:t xml:space="preserve"> (Hrsg.), Schutz von Mensch und Umwelt im europäischen Kontext, Festschrift für Sebastian Heselhaus zum 65. Geburtstag, Schriften zum Öffentlichen Recht, Bd. 1584, Berlin 2025</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w:t>
      </w:r>
      <w:r>
        <w:rPr>
          <w:smallCaps w:val="1"/>
          <w:caps w:val="0"/>
        </w:rPr>
        <w:t xml:space="preserve">Zumoberhaus, Marion</w:t>
      </w:r>
      <w:r>
        <w:rPr/>
        <w:t xml:space="preserve"> (Hrsg.), Handbuch zum schweizerischen Energierecht, Schriften zum Energierecht, Bd. 22, Zürich 2022, https://www.dike.ch/wissenschaftliche-schriftenreihen/schriftenreihe-dike/schriften-zum-energierecht-sze/heselhaus-schreiber-zumoberhaus-handbuch-zum-schweizerischen-energierecht</w:t>
      </w:r>
    </w:p>
    <w:p>
      <w:pPr>
        <w:spacing w:after="240" w:line="240" w:lineRule="atLeast"/>
      </w:pPr>
      <w:r>
        <w:rPr>
          <w:smallCaps w:val="1"/>
          <w:caps w:val="0"/>
        </w:rPr>
        <w:t xml:space="preserve">Haux, Dario Henri</w:t>
      </w:r>
      <w:r>
        <w:rPr/>
        <w:t xml:space="preserve">/</w:t>
      </w:r>
      <w:r>
        <w:rPr>
          <w:smallCaps w:val="1"/>
          <w:caps w:val="0"/>
        </w:rPr>
        <w:t xml:space="preserve">Picecchi, Dario</w:t>
      </w:r>
      <w:r>
        <w:rPr/>
        <w:t xml:space="preserve">/</w:t>
      </w:r>
      <w:r>
        <w:rPr>
          <w:smallCaps w:val="1"/>
          <w:caps w:val="0"/>
        </w:rPr>
        <w:t xml:space="preserve">Schreiber, Markus</w:t>
      </w:r>
      <w:r>
        <w:rPr/>
        <w:t xml:space="preserve"> (Hrsg.), Recht und Risiko, Junge Rechtswissenschaft Luzern, Bd. 134, Zürich 2019</w:t>
      </w:r>
    </w:p>
    <w:p>
      <w:pPr>
        <w:spacing w:after="240" w:line="240" w:lineRule="atLeast"/>
        <w:rPr>
          <w:b/>
          <w:bCs/>
        </w:rPr>
      </w:pPr>
      <w:r>
        <w:rPr>
          <w:b/>
          <w:bCs/>
        </w:rPr>
        <w:t xml:space="preserve">Herausgeberschaft eines Konferenzbandes</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2022, 5. Tagung zum Recht und Management der Energiewirtschaft an der Universität Luzern vom 29. April 2022, Schriften zum Energierecht, Bd. 25, 5. Tagung zum Recht und Management der Energiewirtschaft, Zürich; St. Gallen 2023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2021, 4. Tagung zum Recht und Management der Energiewirtschaft an der Universität Luzern vom 28. Januar 2021, Schriften zum Energierecht, Bd. 23, Zürich; St. Gallen 2022</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2020, Tagungsband zur 3. Energierechtstagung an der Universität Luzern vom 7. Februar 2020, Schriften zum Energierecht, Bd. 17, Zürich; St. Gallen 2021</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(Hrsg.), Energierechtstagung 2019, Tagungsband zur 2. Energierechtstagung an der Universität Luzern vom 31. Januar 2019, Schriften zum Energierecht, Bd. 12, Zürich; St. Gallen 2019</w:t>
      </w:r>
    </w:p>
    <w:p>
      <w:pPr>
        <w:spacing w:after="240" w:line="240" w:lineRule="atLeast"/>
      </w:pPr>
      <w:r>
        <w:rPr>
          <w:smallCaps w:val="1"/>
          <w:caps w:val="0"/>
        </w:rPr>
        <w:t xml:space="preserve">Heselhaus, Sebastian</w:t>
      </w:r>
      <w:r>
        <w:rPr/>
        <w:t xml:space="preserve">/</w:t>
      </w:r>
      <w:r>
        <w:rPr>
          <w:smallCaps w:val="1"/>
          <w:caps w:val="0"/>
        </w:rPr>
        <w:t xml:space="preserve">Hänni, Julia</w:t>
      </w:r>
      <w:r>
        <w:rPr/>
        <w:t xml:space="preserve">/</w:t>
      </w:r>
      <w:r>
        <w:rPr>
          <w:smallCaps w:val="1"/>
          <w:caps w:val="0"/>
        </w:rPr>
        <w:t xml:space="preserve">Schreiber, Markus</w:t>
      </w:r>
      <w:r>
        <w:rPr/>
        <w:t xml:space="preserve"> (Hrsg.), Rechtsfragen der Energiewirtschaft, Tagungsband zur 1. Energierechtstagung an der Universität Luzern vom 23. November 2017, Schriften zum Energierecht, Bd. 10, Zürich; St. Gallen 2019</w:t>
      </w:r>
    </w:p>
    <w:p>
      <w:pPr>
        <w:spacing w:after="240" w:line="240" w:lineRule="atLeast"/>
        <w:rPr>
          <w:b/>
          <w:bCs/>
        </w:rPr>
      </w:pPr>
      <w:r>
        <w:rPr>
          <w:b/>
          <w:bCs/>
        </w:rPr>
        <w:t xml:space="preserve">Rezension, Editorial</w:t>
      </w:r>
    </w:p>
    <w:p>
      <w:pPr>
        <w:spacing w:after="240" w:line="240" w:lineRule="atLeast"/>
      </w:pPr>
      <w:r>
        <w:rPr>
          <w:smallCaps w:val="1"/>
          <w:caps w:val="0"/>
        </w:rPr>
        <w:t xml:space="preserve">Humbel Claude</w:t>
      </w:r>
      <w:r>
        <w:rPr/>
        <w:t xml:space="preserve">/</w:t>
      </w:r>
      <w:r>
        <w:rPr>
          <w:smallCaps w:val="1"/>
          <w:caps w:val="0"/>
        </w:rPr>
        <w:t xml:space="preserve">Baumgart Max</w:t>
      </w:r>
      <w:r>
        <w:rPr/>
        <w:t xml:space="preserve">/</w:t>
      </w:r>
      <w:r>
        <w:rPr>
          <w:smallCaps w:val="1"/>
          <w:caps w:val="0"/>
        </w:rPr>
        <w:t xml:space="preserve">Schreiber Markus</w:t>
      </w:r>
      <w:r>
        <w:rPr/>
        <w:t xml:space="preserve">, Blockchain-Forschung im „Crypto Valley“, Das Zug Institute for Blockchain Research, in: MMR - Zeitschrift für das Recht der Digitalisierung, Datenwirtschaft und IT 2/13.02.2026, S. 89–90</w:t>
      </w:r>
    </w:p>
    <w:p>
      <w:pPr>
        <w:spacing w:after="240" w:line="240" w:lineRule="atLeast"/>
        <w:rPr>
          <w:b/>
          <w:bCs/>
        </w:rPr>
      </w:pPr>
      <w:r>
        <w:rPr>
          <w:b/>
          <w:bCs/>
        </w:rPr>
        <w:t xml:space="preserve">Artikel in Publikumsmedien</w:t>
      </w:r>
    </w:p>
    <w:p>
      <w:pPr>
        <w:spacing w:after="240" w:line="240" w:lineRule="atLeast"/>
      </w:pPr>
      <w:r>
        <w:rPr>
          <w:smallCaps w:val="1"/>
          <w:caps w:val="0"/>
        </w:rPr>
        <w:t xml:space="preserve">Baumgart Max</w:t>
      </w:r>
      <w:r>
        <w:rPr/>
        <w:t xml:space="preserve">/</w:t>
      </w:r>
      <w:r>
        <w:rPr>
          <w:smallCaps w:val="1"/>
          <w:caps w:val="0"/>
        </w:rPr>
        <w:t xml:space="preserve">Humbel Claude</w:t>
      </w:r>
      <w:r>
        <w:rPr/>
        <w:t xml:space="preserve">/</w:t>
      </w:r>
      <w:r>
        <w:rPr>
          <w:smallCaps w:val="1"/>
          <w:caps w:val="0"/>
        </w:rPr>
        <w:t xml:space="preserve">Schreiber Markus</w:t>
      </w:r>
      <w:r>
        <w:rPr/>
        <w:t xml:space="preserve">, Herausgefordertes Recht, Cogito - Das Wissensmagazin der Universität Luzern 16/2026/11.06.2026, S. 18–20</w:t>
      </w:r>
    </w:p>
    <w:p>
      <w:pPr>
        <w:spacing w:after="240" w:line="240" w:lineRule="atLeast"/>
      </w:pPr>
      <w:r>
        <w:rPr>
          <w:smallCaps w:val="1"/>
          <w:caps w:val="0"/>
        </w:rPr>
        <w:t xml:space="preserve">Baumgart Max</w:t>
      </w:r>
      <w:r>
        <w:rPr/>
        <w:t xml:space="preserve">/</w:t>
      </w:r>
      <w:r>
        <w:rPr>
          <w:smallCaps w:val="1"/>
          <w:caps w:val="0"/>
        </w:rPr>
        <w:t xml:space="preserve">Humbel Claude</w:t>
      </w:r>
      <w:r>
        <w:rPr/>
        <w:t xml:space="preserve">/</w:t>
      </w:r>
      <w:r>
        <w:rPr>
          <w:smallCaps w:val="1"/>
          <w:caps w:val="0"/>
        </w:rPr>
        <w:t xml:space="preserve">Schreiber Markus</w:t>
      </w:r>
      <w:r>
        <w:rPr/>
        <w:t xml:space="preserve">, Herausgefordertes Recht, Cogito 15.06.2026, https://www.unilu.ch/magazin/artikel/herausgefordertes-recht/</w:t>
      </w:r>
    </w:p>
    <w:p>
      <w:pPr>
        <w:spacing w:after="240" w:line="240" w:lineRule="atLeast"/>
      </w:pPr>
      <w:r>
        <w:rPr>
          <w:smallCaps w:val="1"/>
          <w:caps w:val="0"/>
        </w:rPr>
        <w:t xml:space="preserve">Schreiber Markus</w:t>
      </w:r>
      <w:r>
        <w:rPr/>
        <w:t xml:space="preserve">/</w:t>
      </w:r>
      <w:r>
        <w:rPr>
          <w:smallCaps w:val="1"/>
          <w:caps w:val="0"/>
        </w:rPr>
        <w:t xml:space="preserve">Schildhauer Tilman</w:t>
      </w:r>
      <w:r>
        <w:rPr/>
        <w:t xml:space="preserve">/</w:t>
      </w:r>
      <w:r>
        <w:rPr>
          <w:smallCaps w:val="1"/>
          <w:caps w:val="0"/>
        </w:rPr>
        <w:t xml:space="preserve">Friedl Markus</w:t>
      </w:r>
      <w:r>
        <w:rPr/>
        <w:t xml:space="preserve">/</w:t>
      </w:r>
      <w:r>
        <w:rPr>
          <w:smallCaps w:val="1"/>
          <w:caps w:val="0"/>
        </w:rPr>
        <w:t xml:space="preserve">Biollaz Serge</w:t>
      </w:r>
      <w:r>
        <w:rPr/>
        <w:t xml:space="preserve">/</w:t>
      </w:r>
      <w:r>
        <w:rPr>
          <w:smallCaps w:val="1"/>
          <w:caps w:val="0"/>
        </w:rPr>
        <w:t xml:space="preserve">Betz Regina</w:t>
      </w:r>
      <w:r>
        <w:rPr/>
        <w:t xml:space="preserve">/</w:t>
      </w:r>
      <w:r>
        <w:rPr>
          <w:smallCaps w:val="1"/>
          <w:caps w:val="0"/>
        </w:rPr>
        <w:t xml:space="preserve">Marchand Christina</w:t>
      </w:r>
      <w:r>
        <w:rPr/>
        <w:t xml:space="preserve">/</w:t>
      </w:r>
      <w:r>
        <w:rPr>
          <w:smallCaps w:val="1"/>
          <w:caps w:val="0"/>
        </w:rPr>
        <w:t xml:space="preserve">Bolliger Andreas</w:t>
      </w:r>
      <w:r>
        <w:rPr/>
        <w:t xml:space="preserve">/</w:t>
      </w:r>
      <w:r>
        <w:rPr>
          <w:smallCaps w:val="1"/>
          <w:caps w:val="0"/>
        </w:rPr>
        <w:t xml:space="preserve">Bryner Peter</w:t>
      </w:r>
      <w:r>
        <w:rPr/>
        <w:t xml:space="preserve">, Erneuerbare Gase für die Energiewende, Projekt DeCIRRA, Aqua &amp; Gas 12.05.2025, https://www.aquaetgas.ch/energie/gas/20250512-ag05-projekt-decirra-erneuerbare-gase-f%C3%BCr-die-energiewende/</w:t>
      </w:r>
    </w:p>
    <w:p>
      <w:pPr>
        <w:spacing w:after="240" w:line="240" w:lineRule="atLeast"/>
      </w:pPr>
      <w:r>
        <w:rPr>
          <w:smallCaps w:val="1"/>
          <w:caps w:val="0"/>
        </w:rPr>
        <w:t xml:space="preserve">Biollaz Serge</w:t>
      </w:r>
      <w:r>
        <w:rPr/>
        <w:t xml:space="preserve">/</w:t>
      </w:r>
      <w:r>
        <w:rPr>
          <w:smallCaps w:val="1"/>
          <w:caps w:val="0"/>
        </w:rPr>
        <w:t xml:space="preserve">Betz Regina</w:t>
      </w:r>
      <w:r>
        <w:rPr/>
        <w:t xml:space="preserve">/</w:t>
      </w:r>
      <w:r>
        <w:rPr>
          <w:smallCaps w:val="1"/>
          <w:caps w:val="0"/>
        </w:rPr>
        <w:t xml:space="preserve">Friedl Markus</w:t>
      </w:r>
      <w:r>
        <w:rPr/>
        <w:t xml:space="preserve">/</w:t>
      </w:r>
      <w:r>
        <w:rPr>
          <w:smallCaps w:val="1"/>
          <w:caps w:val="0"/>
        </w:rPr>
        <w:t xml:space="preserve">Schildhauer Tilman</w:t>
      </w:r>
      <w:r>
        <w:rPr/>
        <w:t xml:space="preserve">/</w:t>
      </w:r>
      <w:r>
        <w:rPr>
          <w:smallCaps w:val="1"/>
          <w:caps w:val="0"/>
        </w:rPr>
        <w:t xml:space="preserve">Schreiber Markus</w:t>
      </w:r>
      <w:r>
        <w:rPr/>
        <w:t xml:space="preserve">/</w:t>
      </w:r>
      <w:r>
        <w:rPr>
          <w:smallCaps w:val="1"/>
          <w:caps w:val="0"/>
        </w:rPr>
        <w:t xml:space="preserve">Züst Simon</w:t>
      </w:r>
      <w:r>
        <w:rPr/>
        <w:t xml:space="preserve">, Innosuisse-Flagship-Projekt DeCIRRA, Welche Rolle spielen Power-to-Gas und Negativ-Emissionstechnologien für das Netto-null-Ziel?, Aqua &amp; Gas 5/2023, S. 58–63</w:t>
      </w:r>
    </w:p>
    <w:p>
      <w:pPr>
        <w:spacing w:after="240" w:line="240" w:lineRule="atLeast"/>
      </w:pPr>
      <w:r>
        <w:rPr>
          <w:smallCaps w:val="1"/>
          <w:caps w:val="0"/>
        </w:rPr>
        <w:t xml:space="preserve">Schreiber Markus</w:t>
      </w:r>
      <w:r>
        <w:rPr/>
        <w:t xml:space="preserve">, Hemmt das Recht Innovation?, SAGW-Bulletin 1/2023, S. 28–31</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Schreiber Markus</w:t>
      </w:r>
      <w:r>
        <w:rPr/>
        <w:t xml:space="preserve">, Der Vollzug der "Solaroffensive", Rechtliche Analyse der neuen Verordnungsbestimmungen zu Art. 71a EnG, Altdorf 11.09.2023, https://www.kulturen-der-alpen.ch/fileadmin/Bilder/Downloads/Der-Vollzug-der-Solaroffensive/Studie-Der-Vollzug-der-Solaroffensive-MS.pdf</w:t>
      </w:r>
    </w:p>
    <w:p>
      <w:pPr>
        <w:spacing w:after="240" w:line="240" w:lineRule="atLeast"/>
      </w:pPr>
      <w:r>
        <w:rPr>
          <w:smallCaps w:val="1"/>
          <w:caps w:val="0"/>
        </w:rPr>
        <w:t xml:space="preserve">Schreiber Markus</w:t>
      </w:r>
      <w:r>
        <w:rPr/>
        <w:t xml:space="preserve">, Auswirkungen der Entflechtungsvorgaben auf den Einsatz von Power‐to‐Gas‐Anlagen in der Schweiz, Innosuisse Flagship DeCIRRA, Subprojekt 2, Deliverable 2.1, Luzern/Villigen 2023</w:t>
      </w:r>
    </w:p>
    <w:p>
      <w:pPr>
        <w:spacing w:after="240" w:line="240" w:lineRule="atLeast"/>
      </w:pPr>
      <w:r>
        <w:rPr>
          <w:smallCaps w:val="1"/>
          <w:caps w:val="0"/>
        </w:rPr>
        <w:t xml:space="preserve">Schreiber Markus</w:t>
      </w:r>
      <w:r>
        <w:rPr/>
        <w:t xml:space="preserve">, Das europäische regulatorische Umfeld der Power-to-Gas-Technologie und seine Auswirkungen auf die Schweiz, Innosuisse Flagship DeCIRRA, Deliverable 2.2, Luzern/Villigen 2023</w:t>
      </w:r>
    </w:p>
    <w:p>
      <w:pPr>
        <w:spacing w:after="240" w:line="240" w:lineRule="atLeast"/>
        <w:rPr>
          <w:b/>
          <w:bCs/>
        </w:rPr>
      </w:pPr>
      <w:r>
        <w:rPr>
          <w:b/>
          <w:bCs/>
        </w:rPr>
        <w:t xml:space="preserve">Interview</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Ein Verbot, für das ihr die Macht fehlt, Klima- und Energiestrategie der Stadt Luzern, Luzerner Anzeiger, 15.03.2022</w:t>
      </w:r>
    </w:p>
    <w:p>
      <w:pPr>
        <w:spacing w:after="240" w:line="240" w:lineRule="atLeast"/>
        <w:rPr>
          <w:b/>
          <w:bCs/>
        </w:rPr>
      </w:pPr>
      <w:r>
        <w:rPr>
          <w:b/>
          <w:bCs/>
        </w:rPr>
        <w:t xml:space="preserve">Sonstige</w:t>
      </w:r>
    </w:p>
    <w:p>
      <w:pPr>
        <w:spacing w:after="240" w:line="240" w:lineRule="atLeast"/>
      </w:pPr>
      <w:r>
        <w:rPr>
          <w:smallCaps w:val="1"/>
          <w:caps w:val="0"/>
        </w:rPr>
        <w:t xml:space="preserve">Schreiber Markus</w:t>
      </w:r>
      <w:r>
        <w:rPr/>
        <w:t xml:space="preserve">, Rechtliche Rahmenbedingungen für Alpenstrom, (Schillig, Ivo &amp; Previšić, Boris, Hrsg.), Altdorf 2022</w:t>
      </w:r>
    </w:p>
    <w:p>
      <w:pPr>
        <w:spacing w:after="240" w:line="240" w:lineRule="atLeast"/>
        <w:rPr>
          <w:b/>
          <w:bCs/>
        </w:rPr>
      </w:pPr>
      <w:r>
        <w:rPr>
          <w:b/>
          <w:bCs/>
        </w:rPr>
        <w:t xml:space="preserve">Working Paper</w:t>
      </w:r>
    </w:p>
    <w:p>
      <w:pPr>
        <w:spacing w:after="240" w:line="240" w:lineRule="atLeast"/>
      </w:pPr>
      <w:r>
        <w:rPr>
          <w:smallCaps w:val="1"/>
          <w:caps w:val="0"/>
        </w:rPr>
        <w:t xml:space="preserve">Schreiber Markus</w:t>
      </w:r>
      <w:r>
        <w:rPr/>
        <w:t xml:space="preserve">, Relevante Erlasse für Power‐to‐Gas‐Anlagen im europäischen Umfeld, Luzern/Villigen 2023</w:t>
      </w:r>
    </w:p>
    <w:p>
      <w:pPr>
        <w:spacing w:after="240" w:line="240" w:lineRule="atLeast"/>
      </w:pPr>
      <w:r>
        <w:rPr>
          <w:smallCaps w:val="1"/>
          <w:caps w:val="0"/>
        </w:rPr>
        <w:t xml:space="preserve">Schreiber Markus</w:t>
      </w:r>
      <w:r>
        <w:rPr/>
        <w:t xml:space="preserve">, Relevante Erlasse für Power‐to‐Gas‐Anlagen in der Schweiz, Luzern/Villigen 2023</w:t>
      </w:r>
    </w:p>
    <w:p>
      <w:pPr>
        <w:spacing w:after="240" w:line="240" w:lineRule="atLeast"/>
      </w:pPr>
      <w:r>
        <w:rPr>
          <w:smallCaps w:val="1"/>
          <w:caps w:val="0"/>
        </w:rPr>
        <w:t xml:space="preserve">Schreiber Markus</w:t>
      </w:r>
      <w:r>
        <w:rPr/>
        <w:t xml:space="preserve">, Förderung der Elektromobilität im Strassenverkehrsrecht, CLS Working Papers Series, 9, Luzern 2021</w:t>
      </w:r>
    </w:p>
    <w:p>
      <w:pPr>
        <w:spacing w:after="240" w:line="240" w:lineRule="atLeast"/>
      </w:pPr>
      <w:r>
        <w:rPr>
          <w:smallCaps w:val="1"/>
          <w:caps w:val="0"/>
        </w:rPr>
        <w:t xml:space="preserve">Schreiber Markus</w:t>
      </w:r>
      <w:r>
        <w:rPr/>
        <w:t xml:space="preserve">/</w:t>
      </w:r>
      <w:r>
        <w:rPr>
          <w:smallCaps w:val="1"/>
          <w:caps w:val="0"/>
        </w:rPr>
        <w:t xml:space="preserve">Zumoberhaus Marion</w:t>
      </w:r>
      <w:r>
        <w:rPr/>
        <w:t xml:space="preserve">, Ladeinfrastruktur für Elektrofahrzeuge, Rechtliche Instrumente zur Förderung des Aufbaus privater und öffentlicher Ladepunkte, CLS Working Papers Series, 7, Luzern 2021</w:t>
      </w:r>
    </w:p>
    <w:p>
      <w:pPr>
        <w:spacing w:after="240" w:line="240" w:lineRule="atLeast"/>
      </w:pPr>
      <w:r>
        <w:rPr>
          <w:smallCaps w:val="1"/>
          <w:caps w:val="0"/>
        </w:rPr>
        <w:t xml:space="preserve">Schreiber Markus</w:t>
      </w:r>
      <w:r>
        <w:rPr/>
        <w:t xml:space="preserve">/</w:t>
      </w:r>
      <w:r>
        <w:rPr>
          <w:smallCaps w:val="1"/>
          <w:caps w:val="0"/>
        </w:rPr>
        <w:t xml:space="preserve">Zumoberhaus Marion</w:t>
      </w:r>
      <w:r>
        <w:rPr/>
        <w:t xml:space="preserve">, Die Umsetzung der MuKEn 2014 in den Kantonen, Center for Law and Sustainability (CLS) Working Papers Series, Working Paper No. 6, Luzern 2020, https://www.unilu.ch/fakultaeten/rf/professuren/heselhaus-sebastian/forschung/kompetenzstelle-fuer-energierecht-competence-center-for-energy-law-lucerne-cell/energieeffizienz/</w:t>
      </w:r>
    </w:p>
    <w:p>
      <w:pPr>
        <w:spacing w:after="240" w:line="240" w:lineRule="atLeast"/>
      </w:pPr>
      <w:r>
        <w:rPr>
          <w:smallCaps w:val="1"/>
          <w:caps w:val="0"/>
        </w:rPr>
        <w:t xml:space="preserve">Kober Tom</w:t>
      </w:r>
      <w:r>
        <w:rPr/>
        <w:t xml:space="preserve">/</w:t>
      </w:r>
      <w:r>
        <w:rPr>
          <w:smallCaps w:val="1"/>
          <w:caps w:val="0"/>
        </w:rPr>
        <w:t xml:space="preserve">Bauer Christian</w:t>
      </w:r>
      <w:r>
        <w:rPr/>
        <w:t xml:space="preserve">/</w:t>
      </w:r>
      <w:r>
        <w:rPr>
          <w:smallCaps w:val="1"/>
          <w:caps w:val="0"/>
        </w:rPr>
        <w:t xml:space="preserve">Bach Christian</w:t>
      </w:r>
      <w:r>
        <w:rPr/>
        <w:t xml:space="preserve">/</w:t>
      </w:r>
      <w:r>
        <w:rPr>
          <w:smallCaps w:val="1"/>
          <w:caps w:val="0"/>
        </w:rPr>
        <w:t xml:space="preserve">Beuse Martin</w:t>
      </w:r>
      <w:r>
        <w:rPr/>
        <w:t xml:space="preserve">/</w:t>
      </w:r>
      <w:r>
        <w:rPr>
          <w:smallCaps w:val="1"/>
          <w:caps w:val="0"/>
        </w:rPr>
        <w:t xml:space="preserve">Georges Gil</w:t>
      </w:r>
      <w:r>
        <w:rPr/>
        <w:t xml:space="preserve">/</w:t>
      </w:r>
      <w:r>
        <w:rPr>
          <w:smallCaps w:val="1"/>
          <w:caps w:val="0"/>
        </w:rPr>
        <w:t xml:space="preserve">Held Maximilian</w:t>
      </w:r>
      <w:r>
        <w:rPr/>
        <w:t xml:space="preserve">/</w:t>
      </w:r>
      <w:r>
        <w:rPr>
          <w:smallCaps w:val="1"/>
          <w:caps w:val="0"/>
        </w:rPr>
        <w:t xml:space="preserve">Heselhaus Sebastian</w:t>
      </w:r>
      <w:r>
        <w:rPr/>
        <w:t xml:space="preserve">/</w:t>
      </w:r>
      <w:r>
        <w:rPr>
          <w:smallCaps w:val="1"/>
          <w:caps w:val="0"/>
        </w:rPr>
        <w:t xml:space="preserve">Korba Petr</w:t>
      </w:r>
      <w:r>
        <w:rPr/>
        <w:t xml:space="preserve">/</w:t>
      </w:r>
      <w:r>
        <w:rPr>
          <w:smallCaps w:val="1"/>
          <w:caps w:val="0"/>
        </w:rPr>
        <w:t xml:space="preserve">Küng Lukas</w:t>
      </w:r>
      <w:r>
        <w:rPr/>
        <w:t xml:space="preserve">/</w:t>
      </w:r>
      <w:r>
        <w:rPr>
          <w:smallCaps w:val="1"/>
          <w:caps w:val="0"/>
        </w:rPr>
        <w:t xml:space="preserve">Malhotra Abishek</w:t>
      </w:r>
      <w:r>
        <w:rPr/>
        <w:t xml:space="preserve">/</w:t>
      </w:r>
      <w:r>
        <w:rPr>
          <w:smallCaps w:val="1"/>
          <w:caps w:val="0"/>
        </w:rPr>
        <w:t xml:space="preserve">Moebus Sandra</w:t>
      </w:r>
      <w:r>
        <w:rPr/>
        <w:t xml:space="preserve">/</w:t>
      </w:r>
      <w:r>
        <w:rPr>
          <w:smallCaps w:val="1"/>
          <w:caps w:val="0"/>
        </w:rPr>
        <w:t xml:space="preserve">Parra David</w:t>
      </w:r>
      <w:r>
        <w:rPr/>
        <w:t xml:space="preserve">/</w:t>
      </w:r>
      <w:r>
        <w:rPr>
          <w:smallCaps w:val="1"/>
          <w:caps w:val="0"/>
        </w:rPr>
        <w:t xml:space="preserve">Roth Jörg</w:t>
      </w:r>
      <w:r>
        <w:rPr/>
        <w:t xml:space="preserve">/</w:t>
      </w:r>
      <w:r>
        <w:rPr>
          <w:smallCaps w:val="1"/>
          <w:caps w:val="0"/>
        </w:rPr>
        <w:t xml:space="preserve">Rüdisüli Martin</w:t>
      </w:r>
      <w:r>
        <w:rPr/>
        <w:t xml:space="preserve">/</w:t>
      </w:r>
      <w:r>
        <w:rPr>
          <w:smallCaps w:val="1"/>
          <w:caps w:val="0"/>
        </w:rPr>
        <w:t xml:space="preserve">Schreiber Markus</w:t>
      </w:r>
      <w:r>
        <w:rPr/>
        <w:t xml:space="preserve">, Power-to-X: Perspektiven in der Schweiz, Ein Weissbuch, Villigen 2019, https://doi.org/10.3929/ethz-b-000525806</w:t>
      </w:r>
    </w:p>
    <w:p>
      <w:pPr>
        <w:spacing w:after="240" w:line="240" w:lineRule="atLeast"/>
      </w:pPr>
      <w:r>
        <w:rPr>
          <w:smallCaps w:val="1"/>
          <w:caps w:val="0"/>
        </w:rPr>
        <w:t xml:space="preserve">Thaler Philipp</w:t>
      </w:r>
      <w:r>
        <w:rPr/>
        <w:t xml:space="preserve">/</w:t>
      </w:r>
      <w:r>
        <w:rPr>
          <w:smallCaps w:val="1"/>
          <w:caps w:val="0"/>
        </w:rPr>
        <w:t xml:space="preserve">Hofmann Benjamin</w:t>
      </w:r>
      <w:r>
        <w:rPr/>
        <w:t xml:space="preserve">/</w:t>
      </w:r>
      <w:r>
        <w:rPr>
          <w:smallCaps w:val="1"/>
          <w:caps w:val="0"/>
        </w:rPr>
        <w:t xml:space="preserve">Abegg Andreas</w:t>
      </w:r>
      <w:r>
        <w:rPr/>
        <w:t xml:space="preserve">/</w:t>
      </w:r>
      <w:r>
        <w:rPr>
          <w:smallCaps w:val="1"/>
          <w:caps w:val="0"/>
        </w:rPr>
        <w:t xml:space="preserve">Bornemann Basil</w:t>
      </w:r>
      <w:r>
        <w:rPr/>
        <w:t xml:space="preserve">/</w:t>
      </w:r>
      <w:r>
        <w:rPr>
          <w:smallCaps w:val="1"/>
          <w:caps w:val="0"/>
        </w:rPr>
        <w:t xml:space="preserve">Braunreiter Lukas</w:t>
      </w:r>
      <w:r>
        <w:rPr/>
        <w:t xml:space="preserve">/</w:t>
      </w:r>
      <w:r>
        <w:rPr>
          <w:smallCaps w:val="1"/>
          <w:caps w:val="0"/>
        </w:rPr>
        <w:t xml:space="preserve">Burger Paul</w:t>
      </w:r>
      <w:r>
        <w:rPr/>
        <w:t xml:space="preserve">/</w:t>
      </w:r>
      <w:r>
        <w:rPr>
          <w:smallCaps w:val="1"/>
          <w:caps w:val="0"/>
        </w:rPr>
        <w:t xml:space="preserve">Dörig-Fässler Leonie</w:t>
      </w:r>
      <w:r>
        <w:rPr/>
        <w:t xml:space="preserve">/</w:t>
      </w:r>
      <w:r>
        <w:rPr>
          <w:smallCaps w:val="1"/>
          <w:caps w:val="0"/>
        </w:rPr>
        <w:t xml:space="preserve">Ejderyan Olivier</w:t>
      </w:r>
      <w:r>
        <w:rPr/>
        <w:t xml:space="preserve">/</w:t>
      </w:r>
      <w:r>
        <w:rPr>
          <w:smallCaps w:val="1"/>
          <w:caps w:val="0"/>
        </w:rPr>
        <w:t xml:space="preserve">Heselhaus Sebastian</w:t>
      </w:r>
      <w:r>
        <w:rPr/>
        <w:t xml:space="preserve">/</w:t>
      </w:r>
      <w:r>
        <w:rPr>
          <w:smallCaps w:val="1"/>
          <w:caps w:val="0"/>
        </w:rPr>
        <w:t xml:space="preserve">Opitz Christian</w:t>
      </w:r>
      <w:r>
        <w:rPr/>
        <w:t xml:space="preserve">/</w:t>
      </w:r>
      <w:r>
        <w:rPr>
          <w:smallCaps w:val="1"/>
          <w:caps w:val="0"/>
        </w:rPr>
        <w:t xml:space="preserve">Petrovich Beatrice</w:t>
      </w:r>
      <w:r>
        <w:rPr/>
        <w:t xml:space="preserve">/</w:t>
      </w:r>
      <w:r>
        <w:rPr>
          <w:smallCaps w:val="1"/>
          <w:caps w:val="0"/>
        </w:rPr>
        <w:t xml:space="preserve">Rinscheid Adrian</w:t>
      </w:r>
      <w:r>
        <w:rPr/>
        <w:t xml:space="preserve">/</w:t>
      </w:r>
      <w:r>
        <w:rPr>
          <w:smallCaps w:val="1"/>
          <w:caps w:val="0"/>
        </w:rPr>
        <w:t xml:space="preserve">Schillig Ivo</w:t>
      </w:r>
      <w:r>
        <w:rPr/>
        <w:t xml:space="preserve">/</w:t>
      </w:r>
      <w:r>
        <w:rPr>
          <w:smallCaps w:val="1"/>
          <w:caps w:val="0"/>
        </w:rPr>
        <w:t xml:space="preserve">Schreiber Markus</w:t>
      </w:r>
      <w:r>
        <w:rPr/>
        <w:t xml:space="preserve">, Schweizer Energiepolitik zwischen Bund, Kantonen und Gemeinden: Zentralisieren, dezentralisieren oder koordinieren?, SCCER CREST White Paper, 7, 2019</w:t>
      </w:r>
    </w:p>
    <w:p>
      <w:pPr>
        <w:spacing w:after="240" w:line="240" w:lineRule="atLeast"/>
      </w:pPr>
      <w:r>
        <w:rPr>
          <w:smallCaps w:val="1"/>
          <w:caps w:val="0"/>
        </w:rPr>
        <w:t xml:space="preserve">Schreiber Markus</w:t>
      </w:r>
      <w:r>
        <w:rPr/>
        <w:t xml:space="preserve">, Survey: Rechtliche Rahmenbedingungen der Photovoltaik in der Schweiz, Center for Law and Sustainability (CLS) Working Papers Series, Working Paper No. 2, 2015</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Ass.-Prof. Dr. iur. Markus Schreiber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Ass.-Prof. Dr. iur. Markus Schreiber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