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Magdalena Hoffmann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Hoffmann, M. (2010). </w:t>
      </w:r>
      <w:r>
        <w:rPr>
          <w:i w:val="1"/>
          <w:iCs w:val="1"/>
        </w:rPr>
        <w:t xml:space="preserve">Der Standard des Guten bei Aristoteles: Regularität im Unbestimmten. Die Nikomachische Ethik des Aristoteles als Gegenstand der Partikularismus-Generalismus-Debatte</w:t>
      </w:r>
      <w:r>
        <w:rPr/>
        <w:t xml:space="preserve">. Freiburg/München: Karl Alber.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Betzler, M., &amp; Hoffmann, M. (2015). Eltern und Kinder - Zur Normativität ihrer Beziehung. </w:t>
      </w:r>
      <w:r>
        <w:rPr>
          <w:i w:val="1"/>
          <w:iCs w:val="1"/>
        </w:rPr>
        <w:t xml:space="preserve">Zeitschrift für Praktische Philosophie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Bleisch, B., Hoffmann, M., &amp; Löschke, J. (2015). Forschungsbericht zur Familienethik. </w:t>
      </w:r>
      <w:r>
        <w:rPr>
          <w:i w:val="1"/>
          <w:iCs w:val="1"/>
        </w:rPr>
        <w:t xml:space="preserve">Information Philosophie</w:t>
      </w:r>
      <w:r>
        <w:rPr/>
        <w:t xml:space="preserve">, (1).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Hoffmann, M. (2014). What Relationship Structure Tells Us About Love. In Maurer, Christian, Milligan, Tony &amp; Pacovskà, Kamila (Hrsg.), </w:t>
      </w:r>
      <w:r>
        <w:rPr>
          <w:i w:val="1"/>
          <w:iCs w:val="1"/>
        </w:rPr>
        <w:t xml:space="preserve">Love and Its Objects: What Can We Care For</w:t>
      </w:r>
      <w:r>
        <w:rPr/>
        <w:t xml:space="preserve">. Basingstoke: Palgrave Macmillan.</w:t>
      </w:r>
    </w:p>
    <w:p>
      <w:pPr>
        <w:spacing w:after="240" w:line="240" w:lineRule="atLeast"/>
      </w:pPr>
      <w:r>
        <w:rPr/>
        <w:t xml:space="preserve">Hoffmann, M. (2012). Der tugendhafte Mensch bei Aristoteles - ein (politisches) Vorbild? In Seele, Peter (Hrsg.), </w:t>
      </w:r>
      <w:r>
        <w:rPr>
          <w:i w:val="1"/>
          <w:iCs w:val="1"/>
        </w:rPr>
        <w:t xml:space="preserve">Ökonomie, Politik und Ethik in der praktischen Philosophie der Antike</w:t>
      </w:r>
      <w:r>
        <w:rPr/>
        <w:t xml:space="preserve"> (S. 61–74). Berlin/Boston: De Gruyter.</w:t>
      </w:r>
    </w:p>
    <w:p>
      <w:pPr>
        <w:spacing w:after="240" w:line="240" w:lineRule="atLeast"/>
      </w:pPr>
      <w:r>
        <w:rPr/>
        <w:t xml:space="preserve">Hoffmann, M. (2012). Völker im Urzustand: Zu Rawls’ Begründung seines "Rechts der Völker". In Ast, Stephan, Hänni, Julia, Mathis, Klaus &amp; Zabel, Benno (Hrsg.), </w:t>
      </w:r>
      <w:r>
        <w:rPr>
          <w:i w:val="1"/>
          <w:iCs w:val="1"/>
        </w:rPr>
        <w:t xml:space="preserve">Gleichheit und Universalität. Tagungen des Jungen Forums Rechtsphilosophie in 2010 und 2011</w:t>
      </w:r>
      <w:r>
        <w:rPr/>
        <w:t xml:space="preserve"> (Bd. 128, S. 247–262). Stuttgart: Franz Steiner Verlag.</w:t>
      </w:r>
    </w:p>
    <w:p>
      <w:pPr>
        <w:spacing w:after="240" w:line="240" w:lineRule="atLeast"/>
      </w:pPr>
      <w:r>
        <w:rPr/>
        <w:t xml:space="preserve">Hoffmann, M. (2007). Die Urteilskraft partikularistischer Façon - eine Herausforderung? In Geier, Fabian, Spahn, Andreas &amp; Spahn, Christian (Hrsg.), </w:t>
      </w:r>
      <w:r>
        <w:rPr>
          <w:i w:val="1"/>
          <w:iCs w:val="1"/>
        </w:rPr>
        <w:t xml:space="preserve">Perspektiven philosophischer Forschung: Vorträge der 3. und 4. GPW Graduiertenkonferenz</w:t>
      </w:r>
      <w:r>
        <w:rPr/>
        <w:t xml:space="preserve"> (S. 73–85). Essen: Oldib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Hoffmann, M. (2016). Was sind Regeln? </w:t>
      </w:r>
      <w:r>
        <w:rPr>
          <w:i w:val="1"/>
          <w:iCs w:val="1"/>
        </w:rPr>
        <w:t xml:space="preserve">Rubicon: Magazin für Entscheidungsträger</w:t>
      </w:r>
      <w:r>
        <w:rPr/>
        <w:t xml:space="preserve">, (5).</w:t>
      </w:r>
    </w:p>
    <w:p>
      <w:pPr>
        <w:spacing w:after="240" w:line="240" w:lineRule="atLeast"/>
      </w:pPr>
      <w:r>
        <w:rPr/>
        <w:t xml:space="preserve">Hoffmann, M. (2016). Der Staat soll Steuergelder sorgfältig und effizient einsetzen. </w:t>
      </w:r>
      <w:r>
        <w:rPr>
          <w:i w:val="1"/>
          <w:iCs w:val="1"/>
        </w:rPr>
        <w:t xml:space="preserve">Zentralinfo: Informationen der Industrie- und Handelskammer Zentralschweiz IHZ</w:t>
      </w:r>
      <w:r>
        <w:rPr/>
        <w:t xml:space="preserve">, (02).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Hoffmann, M. (2016). Familie. In Mieth, Corinna, Goppel, Anna &amp; Neuhäuser, Christian (Hrsg.), </w:t>
      </w:r>
      <w:r>
        <w:rPr>
          <w:i w:val="1"/>
          <w:iCs w:val="1"/>
        </w:rPr>
        <w:t xml:space="preserve">Handbuch der Gerechtigkeit</w:t>
      </w:r>
      <w:r>
        <w:rPr/>
        <w:t xml:space="preserve">. Stuttgart/Weimar: J.B. Metzler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Baracchi, C., &amp; Hoffmann, M. (2009). Aristotle’s Ethics as First Philosophy. In </w:t>
      </w:r>
      <w:r>
        <w:rPr>
          <w:i w:val="1"/>
          <w:iCs w:val="1"/>
        </w:rPr>
        <w:t xml:space="preserve">Archiv der Geschichte der Philosophie </w:t>
      </w:r>
      <w:r>
        <w:rPr/>
        <w:t xml:space="preserve">(S. 355–357).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Übersetzung</w:t>
      </w:r>
    </w:p>
    <w:p>
      <w:pPr>
        <w:spacing w:after="240" w:line="240" w:lineRule="atLeast"/>
      </w:pPr>
      <w:r>
        <w:rPr/>
        <w:t xml:space="preserve">Hoffmann, M. (2015). </w:t>
      </w:r>
      <w:r>
        <w:rPr>
          <w:i w:val="1"/>
          <w:iCs w:val="1"/>
        </w:rPr>
        <w:t xml:space="preserve">Galen</w:t>
      </w:r>
      <w:r>
        <w:rPr/>
        <w:t xml:space="preserve"> (Ueberweg (Grundriss zur Geschichte der Philosophie)). (Horn, Christoph, Riedweg Christoph, &amp; Wyrwa, Dietmar, Hrsg., Hoffmann, Magdalena, Übers.) (Bd. 5). Basel: Schwabe.</w:t>
      </w:r>
    </w:p>
    <w:p>
      <w:pPr>
        <w:spacing w:after="240" w:line="240" w:lineRule="atLeast"/>
      </w:pPr>
      <w:r>
        <w:rPr/>
        <w:t xml:space="preserve">Hoffmann, M. (2013). </w:t>
      </w:r>
      <w:r>
        <w:rPr>
          <w:i w:val="1"/>
          <w:iCs w:val="1"/>
        </w:rPr>
        <w:t xml:space="preserve">The Liberation Theory of Autonomy: Objectivity</w:t>
      </w:r>
      <w:r>
        <w:rPr/>
        <w:t xml:space="preserve"> (Automomie der Person). (Hoffmann, Magdalena, Übers.). Münster: mentis.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Hoffmann, M. (2016). </w:t>
      </w:r>
      <w:r>
        <w:rPr>
          <w:i w:val="1"/>
          <w:iCs w:val="1"/>
        </w:rPr>
        <w:t xml:space="preserve">Der Mensch als verletzliches Wesen</w:t>
      </w:r>
      <w:r>
        <w:rPr/>
        <w:t xml:space="preserve">. Abgerufen von http://blogs.philosophie.ch/mensch/</w:t>
      </w:r>
    </w:p>
    <w:p>
      <w:pPr>
        <w:spacing w:after="240" w:line="240" w:lineRule="atLeast"/>
      </w:pPr>
      <w:r>
        <w:rPr/>
        <w:t xml:space="preserve">Hoffmann, M. (10. April 2015). </w:t>
      </w:r>
      <w:r>
        <w:rPr>
          <w:i w:val="1"/>
          <w:iCs w:val="1"/>
        </w:rPr>
        <w:t xml:space="preserve">Persönliche Beziehungen und ihr Platz in der Moral</w:t>
      </w:r>
      <w:r>
        <w:rPr/>
        <w:t xml:space="preserve">. Abgerufen von http://blogs.philosophie.ch/alltag/2015/04/10/persoenliche-beziehungen/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Magdalena Hoffmann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Magdalena Hoffmann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