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Maani Hakimi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Baltruškeviciute, L., Moccetti, F., Wolfrum, M., Loretz, L., Brunner, S., Hakimi, M., … Toggweiler, S. (2026). Aortic Arch Morphology and Cerebrovascular Accidents After Transfemoral Transcatheter Aortic Valve Implantation: Am J Cardiol.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258</w:t>
      </w:r>
      <w:r>
        <w:rPr/>
        <w:t xml:space="preserve">, 229-233 ff. https://doi.org/10.1016/j.amjcard.2025.09.066</w:t>
      </w:r>
    </w:p>
    <w:p>
      <w:pPr>
        <w:spacing w:after="240" w:line="240" w:lineRule="atLeast"/>
      </w:pPr>
      <w:r>
        <w:rPr/>
        <w:t xml:space="preserve">Tinelli, G., Meier, D., Suggs, S., Mani, K., Rancic, Z., Resh, T., … Van den Eynde, W. (2024). The sac evolution imaging follow-up after endovascular aortic repair: An international expert opinion-based Delphi consensus study. </w:t>
      </w:r>
      <w:r>
        <w:rPr>
          <w:i w:val="1"/>
          <w:iCs w:val="1"/>
        </w:rPr>
        <w:t xml:space="preserve">Journal of Vascular Surgery</w:t>
      </w:r>
      <w:r>
        <w:rPr/>
        <w:t xml:space="preserve">. https://doi.org/10.1016/j.jvs.2024.03.007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Toggweiler, S. (2022). Manual compression versus MANTA device for access management after impella removal on the ICU.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https://doi.org/10.1038/s41598-022-18184-x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Meier, S. (2022). Manual Compression Versus MANTA Device for Access Management After Impella Removal on the ICU. </w:t>
      </w:r>
      <w:r>
        <w:rPr>
          <w:i w:val="1"/>
          <w:iCs w:val="1"/>
        </w:rPr>
        <w:t xml:space="preserve">Research Square</w:t>
      </w:r>
      <w:r>
        <w:rPr/>
        <w:t xml:space="preserve">. https://doi.org/10.21203/rs.3.rs-1176070/v1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Maani Hakimi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Maani Hakimi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