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Dr. iur. Luca Oberholzer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Lehrbuch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/</w:t>
      </w:r>
      <w:r>
        <w:rPr>
          <w:smallCaps w:val="1"/>
          <w:caps w:val="0"/>
        </w:rPr>
        <w:t xml:space="preserve">Oberholzer Luca</w:t>
      </w:r>
      <w:r>
        <w:rPr/>
        <w:t xml:space="preserve">, Rechtsfragen der Palliative Care, 1., Luzern 2019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/</w:t>
      </w:r>
      <w:r>
        <w:rPr>
          <w:smallCaps w:val="1"/>
          <w:caps w:val="0"/>
        </w:rPr>
        <w:t xml:space="preserve">Oberholzer Luca</w:t>
      </w:r>
      <w:r>
        <w:rPr/>
        <w:t xml:space="preserve">, Das Seelsorgegeheimnis im Strafvollzug. Eine Annäherung anhand von Fallbeispielen, in: Seelsorge &amp; Strafvollzug 5/2021, S. 7–27, https://www.seelsorgeundstrafvollzug.ch/aktuelle_ausgabe/index.html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Dr. iur. Luca Oberholzer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Dr. iur. Luca Oberholzer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