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Linus Bättig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Massari Philipp</w:t>
      </w:r>
      <w:r>
        <w:rPr/>
        <w:t xml:space="preserve">/</w:t>
      </w:r>
      <w:r>
        <w:rPr>
          <w:smallCaps w:val="1"/>
          <w:caps w:val="0"/>
        </w:rPr>
        <w:t xml:space="preserve">Bättig Linus</w:t>
      </w:r>
      <w:r>
        <w:rPr/>
        <w:t xml:space="preserve">, Storytelling in der Prozessführung, in: ius.full 3/2026, S. 80–85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Beeler Lukas</w:t>
      </w:r>
      <w:r>
        <w:rPr/>
        <w:t xml:space="preserve">/</w:t>
      </w:r>
      <w:r>
        <w:rPr>
          <w:smallCaps w:val="1"/>
          <w:caps w:val="0"/>
        </w:rPr>
        <w:t xml:space="preserve">Bättig Linus</w:t>
      </w:r>
      <w:r>
        <w:rPr/>
        <w:t xml:space="preserve">, Entwicklungen im Zivilprozessrecht (1/2) | Le point sur la procédure civile (1/2), in: SJZ 121/19/2025, S. 929–942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Beeler Lukas</w:t>
      </w:r>
      <w:r>
        <w:rPr/>
        <w:t xml:space="preserve">/</w:t>
      </w:r>
      <w:r>
        <w:rPr>
          <w:smallCaps w:val="1"/>
          <w:caps w:val="0"/>
        </w:rPr>
        <w:t xml:space="preserve">Bättig Linus</w:t>
      </w:r>
      <w:r>
        <w:rPr/>
        <w:t xml:space="preserve">, Haftung des Verwaltungsrates wegen unterlassener Prozessführung, Besprechung von BGer, 4A_506/2024, 18.3.2025, in: AJP 08/2025, S. 916–925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Bättig Linus</w:t>
      </w:r>
      <w:r>
        <w:rPr/>
        <w:t xml:space="preserve">, Rechtsschutz bei technischen Problemen in der hybriden und virtuellen Generalversammlung, in: ZVglRWiss 124/2025, S. 151–172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Linus Bättig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Linus Bättig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