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Laura Scardino-Meier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Aebi-Müller Regina E.</w:t>
      </w:r>
      <w:r>
        <w:rPr/>
        <w:t xml:space="preserve">/</w:t>
      </w:r>
      <w:r>
        <w:rPr>
          <w:smallCaps w:val="1"/>
          <w:caps w:val="0"/>
        </w:rPr>
        <w:t xml:space="preserve">Meier Laura</w:t>
      </w:r>
      <w:r>
        <w:rPr/>
        <w:t xml:space="preserve">, Genugtuung in der güter- und erbrechtlichen Auseinandersetzung - Gedankenspiele, in: Schmid, Jörg/Aebi-Müller, Regina E./Breitschmid, Peter/Graham-Siegenthaler, Barbara/Jungo, Alexandra (Hrsg.), Spuren im Erbrecht, Festschrift für Paul Eitel, Zürich 2022, S. 15–29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Scardino-Meier Laura</w:t>
      </w:r>
      <w:r>
        <w:rPr/>
        <w:t xml:space="preserve">, Demenz als Risikofaktor für Ausbeutung, 02.10.2023, https://jusletter.weblaw.ch/juslissues/2023/1169/demenz-als-risikofak_ade218e430.html__ONCE&amp;login=false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Laura Scardino-Meier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Laura Scardino-Meier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