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BA Jennifer De Biasio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De Biasio, J. (26. August 2025). </w:t>
      </w:r>
      <w:r>
        <w:rPr>
          <w:i w:val="1"/>
          <w:iCs w:val="1"/>
        </w:rPr>
        <w:t xml:space="preserve">Medieval History after the Global Turn: New (In)Visibilities? Podium report, 7. Schweizerische Geschichtstage</w:t>
      </w:r>
      <w:r>
        <w:rPr/>
        <w:t xml:space="preserve">. Luzern. https://doi.org/10.13098/infoclio.ch-tb-0398</w:t>
      </w:r>
    </w:p>
    <w:p>
      <w:pPr>
        <w:spacing w:after="240" w:line="240" w:lineRule="atLeast"/>
      </w:pPr>
      <w:r>
        <w:rPr/>
        <w:t xml:space="preserve">De Biasio, J. (11. August 2025). </w:t>
      </w:r>
      <w:r>
        <w:rPr>
          <w:i w:val="1"/>
          <w:iCs w:val="1"/>
        </w:rPr>
        <w:t xml:space="preserve">Humility on the Surface: Managing Visibility in the Late Middle Ages: Panel report, 7. Schweizerische Geschichtstage</w:t>
      </w:r>
      <w:r>
        <w:rPr/>
        <w:t xml:space="preserve">. Luzern. https://doi.org/10.13098/infoclio.ch-tb-0324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BA Jennifer De Biasio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BA Jennifer De Biasio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