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Jasmin Ulli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Ulli Jasmin</w:t>
      </w:r>
      <w:r>
        <w:rPr/>
        <w:t xml:space="preserve">, Der Anspruch auf rechtliches Gehör drittbetroffener Personen nach Art. 53 Abs. 1 ZPO, in: Zeitschrift für Zivilprozess- und Zwangsvollstreckungsrecht ZZZ 71/2025, S. 208–218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Ulli Jasmin</w:t>
      </w:r>
      <w:r>
        <w:rPr/>
        <w:t xml:space="preserve">, Offene Fragen im selbständigen Kindesunterhaltsprozess, Eine kritische Analyse des revidierten Art. 304 Abs. 2 ZPO, in: AJP 5/2025, S. 455–463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Ulli Jasmin</w:t>
      </w:r>
      <w:r>
        <w:rPr/>
        <w:t xml:space="preserve">, Zum Umgang mit unechten Noven in Kindesunterhaltsprozessen, in: Jusletter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Ulli Jasmin</w:t>
      </w:r>
      <w:r>
        <w:rPr/>
        <w:t xml:space="preserve">/</w:t>
      </w:r>
      <w:r>
        <w:rPr>
          <w:smallCaps w:val="1"/>
          <w:caps w:val="0"/>
        </w:rPr>
        <w:t xml:space="preserve">Schmid Oliver Timothy</w:t>
      </w:r>
      <w:r>
        <w:rPr/>
        <w:t xml:space="preserve">, Betreuungsunterhaltsberechnungen in Patchworkfamilien nach der Dreisatzmethode, in: AJP 12/2024, S. 1274–1285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Ulli Jasmin</w:t>
      </w:r>
      <w:r>
        <w:rPr/>
        <w:t xml:space="preserve">, Knacknuss: Einbezug beider Elternteile in den Kinderunterhaltsprozess, in: Jusletter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Ulli Jasmin</w:t>
      </w:r>
      <w:r>
        <w:rPr/>
        <w:t xml:space="preserve">, Governmental Measures in Switzerland Against Mass Bankruptcies During the Covid-19 Pandemic, in: European Business Organization Law Review 2023, S. 267–276, https://link.springer.com/article/10.1007/s40804-023-00280-8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Jasmin Ulli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Jasmin Ulli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