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MLaw, BSc FH Fabienne Rast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Caroni, M., &amp; Rast, F. (2026). EU-Pakt zu Asyl- und Migration / Le Pacte européen sur la migration et l’asile: Sicherheit statt Rechtsschutz: Die Screening-Verordnung und ihre Umsetzung in der Schweiz. </w:t>
      </w:r>
      <w:r>
        <w:rPr>
          <w:i w:val="1"/>
          <w:iCs w:val="1"/>
        </w:rPr>
        <w:t xml:space="preserve">Schweizerische Zeitschrift für Asylrecht und -praxis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Rast, F. (2026). CO2-Abgabe und Verfassungsrecht – Die Herausforderung einer verfassungskonformen Mittelverwendung. In Thoma, Simon &amp; Fanger, Julian (Hrsg.), </w:t>
      </w:r>
      <w:r>
        <w:rPr>
          <w:i w:val="1"/>
          <w:iCs w:val="1"/>
        </w:rPr>
        <w:t xml:space="preserve">Recht und Nachhaltigkeit</w:t>
      </w:r>
      <w:r>
        <w:rPr/>
        <w:t xml:space="preserve">. Zürich: Schulthess.</w:t>
      </w:r>
    </w:p>
    <w:p>
      <w:pPr>
        <w:spacing w:after="240" w:line="240" w:lineRule="atLeast"/>
      </w:pPr>
      <w:r>
        <w:rPr/>
        <w:t xml:space="preserve">Rast, F., &amp; Reber, C. (2026). Rechtsentwicklungen in der Schweiz. In von Rütte, Barbara, Amarelle, Cesla, Boillet, Véronique, Caroni, Martina, Epiney, Astrid &amp; Müller, Andreas Th. (Hrsg.), </w:t>
      </w:r>
      <w:r>
        <w:rPr>
          <w:i w:val="1"/>
          <w:iCs w:val="1"/>
        </w:rPr>
        <w:t xml:space="preserve">Jahrbuch für Migrationsrecht 2025/2026</w:t>
      </w:r>
      <w:r>
        <w:rPr/>
        <w:t xml:space="preserve"> (S. 467–523). Bern: Stämpfli Verlag.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MLaw, BSc FH Fabienne Rast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MLaw, BSc FH Fabienne Rast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