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Doris Bacalzo Schwörer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Bacalzo Schwörer, L., Beer, B., Schwörer, T., &amp; Bacalzo Schwörer, D. (2014). Mining narratives, the revival of „clans“ and other changes in Wampar social imaginaries: A case study from Papua New Guinea. </w:t>
      </w:r>
      <w:r>
        <w:rPr>
          <w:i w:val="1"/>
          <w:iCs w:val="1"/>
        </w:rPr>
        <w:t xml:space="preserve">Le Journal de la Société des Océanistes</w:t>
      </w:r>
      <w:r>
        <w:rPr/>
        <w:t xml:space="preserve">, (138–139), 63–76.</w:t>
      </w:r>
    </w:p>
    <w:p>
      <w:pPr>
        <w:spacing w:after="240" w:line="240" w:lineRule="atLeast"/>
      </w:pPr>
      <w:r>
        <w:rPr/>
        <w:t xml:space="preserve">Bacalzo Schwörer, D., Beer, B., &amp; Schwörer, T. (2014). Mining narratives, the revival of «clans» and other changes in Wampar social imaginaries: A case study from Papua New Guinea. </w:t>
      </w:r>
      <w:r>
        <w:rPr>
          <w:i w:val="1"/>
          <w:iCs w:val="1"/>
        </w:rPr>
        <w:t xml:space="preserve">Le Journal de la Société des Océanistes</w:t>
      </w:r>
      <w:r>
        <w:rPr/>
        <w:t xml:space="preserve">, </w:t>
      </w:r>
      <w:r>
        <w:rPr>
          <w:i w:val="1"/>
          <w:iCs w:val="1"/>
        </w:rPr>
        <w:t xml:space="preserve">138</w:t>
      </w:r>
      <w:r>
        <w:rPr/>
        <w:t xml:space="preserve">, 63–76. https://doi.org/https://orcid.org/0000-0001-7065-8359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Doris Bacalzo Schwörer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Doris Bacalzo Schwörer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