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Dirk Trüten</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Siehr Kurt</w:t>
      </w:r>
      <w:r>
        <w:rPr/>
        <w:t xml:space="preserve">/</w:t>
      </w:r>
      <w:r>
        <w:rPr>
          <w:smallCaps w:val="1"/>
          <w:caps w:val="0"/>
        </w:rPr>
        <w:t xml:space="preserve">Trüten Dirk</w:t>
      </w:r>
      <w:r>
        <w:rPr/>
        <w:t xml:space="preserve">, Internationales Privatrecht, Besonderer Teil, 1. Aufl., Bd. 2, Basel 2018</w:t>
      </w:r>
    </w:p>
    <w:p>
      <w:pPr>
        <w:spacing w:after="240" w:line="240" w:lineRule="atLeast"/>
      </w:pPr>
      <w:r>
        <w:rPr>
          <w:smallCaps w:val="1"/>
          <w:caps w:val="0"/>
        </w:rPr>
        <w:t xml:space="preserve">Trüten Dirk</w:t>
      </w:r>
      <w:r>
        <w:rPr/>
        <w:t xml:space="preserve">, Die Entwicklung des internationalen Privatrechts in der Europäischen Union, Auf dem Weg zu einem europäischen IPR-Gesetz, Droit privé européen, Bd. 14, Bern 2015</w:t>
      </w:r>
    </w:p>
    <w:p>
      <w:pPr>
        <w:spacing w:after="240" w:line="240" w:lineRule="atLeast"/>
      </w:pPr>
      <w:r>
        <w:rPr>
          <w:smallCaps w:val="1"/>
          <w:caps w:val="0"/>
        </w:rPr>
        <w:t xml:space="preserve">Trüten Dirk</w:t>
      </w:r>
      <w:r>
        <w:rPr/>
        <w:t xml:space="preserve">/</w:t>
      </w:r>
      <w:r>
        <w:rPr>
          <w:smallCaps w:val="1"/>
          <w:caps w:val="0"/>
        </w:rPr>
        <w:t xml:space="preserve">Weber Rolf</w:t>
      </w:r>
      <w:r>
        <w:rPr/>
        <w:t xml:space="preserve">/</w:t>
      </w:r>
      <w:r>
        <w:rPr>
          <w:smallCaps w:val="1"/>
          <w:caps w:val="0"/>
        </w:rPr>
        <w:t xml:space="preserve">Klemm Urs</w:t>
      </w:r>
      <w:r>
        <w:rPr/>
        <w:t xml:space="preserve">, Lebensmittelrecht Schweiz/EU, 2. Auflage, Zürich 2012</w:t>
      </w:r>
    </w:p>
    <w:p>
      <w:pPr>
        <w:spacing w:after="240" w:line="240" w:lineRule="atLeast"/>
      </w:pPr>
      <w:r>
        <w:rPr>
          <w:smallCaps w:val="1"/>
          <w:caps w:val="0"/>
        </w:rPr>
        <w:t xml:space="preserve">Trüten Dirk</w:t>
      </w:r>
      <w:r>
        <w:rPr/>
        <w:t xml:space="preserve">, Die Mobilität von Gesellschaften in der Europäischen Gemeinschaft, Zürcher Studien zum Privatrecht, Bd. 194, Zürich 2005</w:t>
      </w:r>
    </w:p>
    <w:p>
      <w:pPr>
        <w:spacing w:after="240" w:line="240" w:lineRule="atLeast"/>
      </w:pPr>
      <w:r>
        <w:rPr>
          <w:smallCaps w:val="1"/>
          <w:caps w:val="0"/>
        </w:rPr>
        <w:t xml:space="preserve">Trüten Dirk</w:t>
      </w:r>
      <w:r>
        <w:rPr/>
        <w:t xml:space="preserve">, Die Rechtsprechung des Europäischen Gerichtshofs zur Anerkennung von Gesellschaften und ihre Auswirkungen auf die Schweiz, Veröffentlichungen aus dem Nachdiplomstudium Internationales Wirtschaftsrecht der Universität Zürich, Bd. 19, Zürich 2001</w:t>
      </w:r>
    </w:p>
    <w:p>
      <w:pPr>
        <w:spacing w:after="240" w:line="240" w:lineRule="atLeast"/>
        <w:rPr>
          <w:b/>
          <w:bCs/>
        </w:rPr>
      </w:pPr>
      <w:r>
        <w:rPr>
          <w:b/>
          <w:bCs/>
        </w:rPr>
        <w:t xml:space="preserve">Lehrbuch</w:t>
      </w:r>
    </w:p>
    <w:p>
      <w:pPr>
        <w:spacing w:after="240" w:line="240" w:lineRule="atLeast"/>
      </w:pPr>
      <w:r>
        <w:rPr>
          <w:smallCaps w:val="1"/>
          <w:caps w:val="0"/>
        </w:rPr>
        <w:t xml:space="preserve">Trüten Dirk</w:t>
      </w:r>
      <w:r>
        <w:rPr/>
        <w:t xml:space="preserve">/</w:t>
      </w:r>
      <w:r>
        <w:rPr>
          <w:smallCaps w:val="1"/>
          <w:caps w:val="0"/>
        </w:rPr>
        <w:t xml:space="preserve">Kellerhals Andreas</w:t>
      </w:r>
      <w:r>
        <w:rPr/>
        <w:t xml:space="preserve">/</w:t>
      </w:r>
      <w:r>
        <w:rPr>
          <w:smallCaps w:val="1"/>
          <w:caps w:val="0"/>
        </w:rPr>
        <w:t xml:space="preserve">Baumgartner Tobias</w:t>
      </w:r>
      <w:r>
        <w:rPr/>
        <w:t xml:space="preserve">, Europarecht „in a nutshell“, 3. Auflage, Zürich/St. Gallen 2016</w:t>
      </w:r>
    </w:p>
    <w:p>
      <w:pPr>
        <w:spacing w:after="240" w:line="240" w:lineRule="atLeast"/>
        <w:rPr>
          <w:b/>
          <w:bCs/>
        </w:rPr>
      </w:pPr>
      <w:r>
        <w:rPr>
          <w:b/>
          <w:bCs/>
        </w:rPr>
        <w:t xml:space="preserve">Zeitschriftenartikel</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 Le point sur le droit international privé, Berichtszeitraum November 2023 bis Oktober 2024, in: Schweizerische Juristen-Zeitung 5/2025, S. 264–273, https://www.sjz.ch/de/artikel/2504-0650-2025-0074/entwicklungen-im-schweizerischen-internationalen-privatrecht-le-point?ausgabe=05&amp;s%5Bref%5D=%2Fhefte%2F2025&amp;s%5Bvm%5D=at</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 Le point sur le droit international privé, Berichtszeitraum November 2022 bis Oktober 2023, in: Schweizerische Juristen-Zeitung 120/5/2024, S. 223–232</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Beitritt der Schweiz zum Haager Gerichtsstandsübereinkommen: Bedeutung für das schweizerische Internationale Zivilprozessrecht und Einordnung in das internationale Regelungsumfeld, in: Swiss Review of International and European Law 34/2/2024, S. 165–180</w:t>
      </w:r>
    </w:p>
    <w:p>
      <w:pPr>
        <w:spacing w:after="240" w:line="240" w:lineRule="atLeast"/>
      </w:pPr>
      <w:r>
        <w:rPr>
          <w:smallCaps w:val="1"/>
          <w:caps w:val="0"/>
        </w:rPr>
        <w:t xml:space="preserve">Trüten Dirk</w:t>
      </w:r>
      <w:r>
        <w:rPr/>
        <w:t xml:space="preserve">, Die Schweiz im europäischen und internationalen zivilprozessualen Rechtsraum – Stand und Perspektiven, in: Zeitschrift für Europarecht 2023, S. 2–24, https://eizpublishing.ch/ausgabe/euz-zeitschrift-fuer-europarecht-ausgabe-8-2023/</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 Le point sur le droit international privé, in: Schweizerische Juristen-Zeitung 119/2023, S. 275–283</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 Le point sur le droit international privé, in: Schweizerische Juristen-Zeitung 118/2022, S. 235–243</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Privatrecht/Le point sur le droit international privé, in: Schweizerische Juristen-Zeitung 2022</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in: Schweizerische Juristen-Zeitung 117/5/2021, S. 224–231</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in: Schweizerische Juristen-Zeitung 116/5/2020, S. 166–172</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in: Schweizerische Juristen-Zeitung 115/4/2019, S. 116–122</w:t>
      </w:r>
    </w:p>
    <w:p>
      <w:pPr>
        <w:spacing w:after="240" w:line="240" w:lineRule="atLeast"/>
      </w:pPr>
      <w:r>
        <w:rPr>
          <w:smallCaps w:val="1"/>
          <w:caps w:val="0"/>
        </w:rPr>
        <w:t xml:space="preserve">Trüten Dirk</w:t>
      </w:r>
      <w:r>
        <w:rPr/>
        <w:t xml:space="preserve">, Polbud“ und die geplante EU-Richtlinie über grenzüberschreitende Umwandlungen, Durchbruch zugunsten der Unternehmensmobilität?, in: Zeitschrift für Europarecht 2019, S. 10–15</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in: Schweizerische Juristen-Zeitung 114/5/2018, S. 108–114</w:t>
      </w:r>
    </w:p>
    <w:p>
      <w:pPr>
        <w:spacing w:after="240" w:line="240" w:lineRule="atLeast"/>
      </w:pPr>
      <w:r>
        <w:rPr>
          <w:smallCaps w:val="1"/>
          <w:caps w:val="0"/>
        </w:rPr>
        <w:t xml:space="preserve">Trüten Dirk</w:t>
      </w:r>
      <w:r>
        <w:rPr/>
        <w:t xml:space="preserve">, Sammelklagen in Europa und der Schweiz - eine unendliche Geschichte?, in: Zeitschrift für Europarecht 2018, S. 184–193</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in: Schweizerische Juristen-Zeitung 113/4/2017, S. 85–90</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in: Schweizerische Juristen-Zeitung 112/2016, S. 95–101</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Entwicklungen im schweizerischen internationalen Privatrecht, in: Schweizerische Juristen-Zeitung 111/2015, S. 96–103</w:t>
      </w:r>
    </w:p>
    <w:p>
      <w:pPr>
        <w:spacing w:after="240" w:line="240" w:lineRule="atLeast"/>
      </w:pPr>
      <w:r>
        <w:rPr>
          <w:smallCaps w:val="1"/>
          <w:caps w:val="0"/>
        </w:rPr>
        <w:t xml:space="preserve">Trüten Dirk</w:t>
      </w:r>
      <w:r>
        <w:rPr/>
        <w:t xml:space="preserve">, Kollektiver Rechtsschutz in Europa und der Schweiz - eine Standortbestimmung, in: Zeitschrift für Europarecht 2015, S. 4 ff.</w:t>
      </w:r>
    </w:p>
    <w:p>
      <w:pPr>
        <w:spacing w:after="240" w:line="240" w:lineRule="atLeast"/>
      </w:pPr>
      <w:r>
        <w:rPr>
          <w:smallCaps w:val="1"/>
          <w:caps w:val="0"/>
        </w:rPr>
        <w:t xml:space="preserve">Trüten Dirk</w:t>
      </w:r>
      <w:r>
        <w:rPr/>
        <w:t xml:space="preserve">, Die neue Brüssel I-Verordnung und die Schweiz, in: Zeitschrift für Europarecht 2013, S. 60 ff.</w:t>
      </w:r>
    </w:p>
    <w:p>
      <w:pPr>
        <w:spacing w:after="240" w:line="240" w:lineRule="atLeast"/>
      </w:pPr>
      <w:r>
        <w:rPr>
          <w:smallCaps w:val="1"/>
          <w:caps w:val="0"/>
        </w:rPr>
        <w:t xml:space="preserve">Trüten Dirk</w:t>
      </w:r>
      <w:r>
        <w:rPr/>
        <w:t xml:space="preserve">, Die EU auf dem Weg zum Bundesstaat? Zwischenbilanz der Massnahmen zur Bekämpfung der EU-Schuldenkrise, in: Zeitschrift für Europarecht 2012, S. 30 ff.</w:t>
      </w:r>
    </w:p>
    <w:p>
      <w:pPr>
        <w:spacing w:after="240" w:line="240" w:lineRule="atLeast"/>
      </w:pPr>
      <w:r>
        <w:rPr>
          <w:smallCaps w:val="1"/>
          <w:caps w:val="0"/>
        </w:rPr>
        <w:t xml:space="preserve">Trüten Dirk</w:t>
      </w:r>
      <w:r>
        <w:rPr/>
        <w:t xml:space="preserve">, Neuerungen des Vertrags von Lissabon im Bereich des Internationalen Privat- und Verfahrensrechts, in: Zeitschrift für Europarecht 2010, S. 68 ff.</w:t>
      </w:r>
    </w:p>
    <w:p>
      <w:pPr>
        <w:spacing w:after="240" w:line="240" w:lineRule="atLeast"/>
      </w:pPr>
      <w:r>
        <w:rPr>
          <w:smallCaps w:val="1"/>
          <w:caps w:val="0"/>
        </w:rPr>
        <w:t xml:space="preserve">Trüten Dirk</w:t>
      </w:r>
      <w:r>
        <w:rPr/>
        <w:t xml:space="preserve">, „Cartesio“ – oder die unvollendete Revolution im Europäischen Internationalen Gesellschaftsrecht, in: Zeitschrift für Europarecht 2009, S. 68 ff.</w:t>
      </w:r>
    </w:p>
    <w:p>
      <w:pPr>
        <w:spacing w:after="240" w:line="240" w:lineRule="atLeast"/>
      </w:pPr>
      <w:r>
        <w:rPr>
          <w:smallCaps w:val="1"/>
          <w:caps w:val="0"/>
        </w:rPr>
        <w:t xml:space="preserve">Trüten Dirk</w:t>
      </w:r>
      <w:r>
        <w:rPr/>
        <w:t xml:space="preserve">, Europäische Kollisionsrechtsvereinheitlichung am Beispiel der Rom II-Verordnung, in: Zeitschrift für Europarecht 2008, S. 82 ff.</w:t>
      </w:r>
    </w:p>
    <w:p>
      <w:pPr>
        <w:spacing w:after="240" w:line="240" w:lineRule="atLeast"/>
      </w:pPr>
      <w:r>
        <w:rPr>
          <w:smallCaps w:val="1"/>
          <w:caps w:val="0"/>
        </w:rPr>
        <w:t xml:space="preserve">Trüten Dirk</w:t>
      </w:r>
      <w:r>
        <w:rPr/>
        <w:t xml:space="preserve">, The Creation of the European Company, in: Tulane European and Civil Law Forum 17/2002, S. 71 ff.</w:t>
      </w:r>
    </w:p>
    <w:p>
      <w:pPr>
        <w:spacing w:after="240" w:line="240" w:lineRule="atLeast"/>
      </w:pPr>
      <w:r>
        <w:rPr>
          <w:smallCaps w:val="1"/>
          <w:caps w:val="0"/>
        </w:rPr>
        <w:t xml:space="preserve">Trüten Dirk</w:t>
      </w:r>
      <w:r>
        <w:rPr/>
        <w:t xml:space="preserve">, Neues zur Europäischen Aktiengesellschaft, in: Schweizerische Juristen-Zeitung 15/2001, S. 337 ff.</w:t>
      </w:r>
    </w:p>
    <w:p>
      <w:pPr>
        <w:spacing w:after="240" w:line="240" w:lineRule="atLeast"/>
      </w:pPr>
      <w:r>
        <w:rPr>
          <w:smallCaps w:val="1"/>
          <w:caps w:val="0"/>
        </w:rPr>
        <w:t xml:space="preserve">Trüten Dirk</w:t>
      </w:r>
      <w:r>
        <w:rPr/>
        <w:t xml:space="preserve">, Equality under Swiss Law, in: Saint Louis-Warsaw Transatlantic Law Journal 1999, S. 37 ff.</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Trüten Dirk</w:t>
      </w:r>
      <w:r>
        <w:rPr/>
        <w:t xml:space="preserve">, Impulse für die Weiterentwicklung des schweizerischen Subventionsrechts, in: Dirk Trüten - Andreas Kellerhals (Hrsg.), Subventionen in der Schweiz, Implikationen einer Übernahme des EU-Beihilferechts in ausgewählten Sektoren, Zürich 2023, S. 499–527</w:t>
      </w:r>
    </w:p>
    <w:p>
      <w:pPr>
        <w:spacing w:after="240" w:line="240" w:lineRule="atLeast"/>
      </w:pPr>
      <w:r>
        <w:rPr>
          <w:smallCaps w:val="1"/>
          <w:caps w:val="0"/>
        </w:rPr>
        <w:t xml:space="preserve">Trüten Dirk</w:t>
      </w:r>
      <w:r>
        <w:rPr/>
        <w:t xml:space="preserve">, Internationales Zivilprozessrecht und Internationales Privatrecht, EIZ - Schriftenreihe, in: Andreas Kellerhals / Tobias Baumgartner (Hrsg.), Jahrbuch Wirtschaftsrecht Schweiz – EU Überblick und Kommentar 2022/23, Bd. 227, Zürich 2023, S. 250–258</w:t>
      </w:r>
    </w:p>
    <w:p>
      <w:pPr>
        <w:spacing w:after="240" w:line="240" w:lineRule="atLeast"/>
      </w:pPr>
      <w:r>
        <w:rPr>
          <w:smallCaps w:val="1"/>
          <w:caps w:val="0"/>
        </w:rPr>
        <w:t xml:space="preserve">Trüten Dirk</w:t>
      </w:r>
      <w:r>
        <w:rPr/>
        <w:t xml:space="preserve">, Internationales Zivilprozessrecht und Internationales Privatrecht, in: Kellerhals/Baumgartner (Hrsg.), Jahrbuch Wirtschaftsrecht Schweiz/EU 2021/22, Zürich o. J.</w:t>
      </w:r>
    </w:p>
    <w:p>
      <w:pPr>
        <w:spacing w:after="240" w:line="240" w:lineRule="atLeast"/>
      </w:pPr>
      <w:r>
        <w:rPr>
          <w:smallCaps w:val="1"/>
          <w:caps w:val="0"/>
        </w:rPr>
        <w:t xml:space="preserve">Trüten Dirk</w:t>
      </w:r>
      <w:r>
        <w:rPr/>
        <w:t xml:space="preserve">/</w:t>
      </w:r>
      <w:r>
        <w:rPr>
          <w:smallCaps w:val="1"/>
          <w:caps w:val="0"/>
        </w:rPr>
        <w:t xml:space="preserve">Furrer Andreas</w:t>
      </w:r>
      <w:r>
        <w:rPr/>
        <w:t xml:space="preserve">, Pubilc Policy in Switzerland, in: Olaf Meyer (Hrsg.), Public Policy and Private International Law, Cheltenham o. J.</w:t>
      </w:r>
    </w:p>
    <w:p>
      <w:pPr>
        <w:spacing w:after="240" w:line="240" w:lineRule="atLeast"/>
      </w:pPr>
      <w:r>
        <w:rPr>
          <w:smallCaps w:val="1"/>
          <w:caps w:val="0"/>
        </w:rPr>
        <w:t xml:space="preserve">Trüten Dirk</w:t>
      </w:r>
      <w:r>
        <w:rPr/>
        <w:t xml:space="preserve">, Ein Phönix aus der Asche? Zu den Entwicklungsperspektiven des Lugano-Übereinkommens im Rahmen der EU-Aussenbeziehungen, in: Vasella, Juana (Hrsg.), Von A wie Arbitration über T wie Transport bis Z wie Zivilprozess, Liber discipulorum für Professor Dr. Andreas Furrer, Bern 2018, S. 105 ff.</w:t>
      </w:r>
    </w:p>
    <w:p>
      <w:pPr>
        <w:spacing w:after="240" w:line="240" w:lineRule="atLeast"/>
      </w:pPr>
      <w:r>
        <w:rPr>
          <w:smallCaps w:val="1"/>
          <w:caps w:val="0"/>
        </w:rPr>
        <w:t xml:space="preserve">Girsberger Daniel</w:t>
      </w:r>
      <w:r>
        <w:rPr/>
        <w:t xml:space="preserve">/</w:t>
      </w:r>
      <w:r>
        <w:rPr>
          <w:smallCaps w:val="1"/>
          <w:caps w:val="0"/>
        </w:rPr>
        <w:t xml:space="preserve">Trüten Dirk</w:t>
      </w:r>
      <w:r>
        <w:rPr/>
        <w:t xml:space="preserve">, Weltweite Parteiautonomie bei internationalen Handelsverträgen und ihre Grenzen, in: Grolimund, Pascal/Koller, Alfred/Loacker, Leander D./Portmann, Wolfgang (Hrsg.), Festschrift für Anton K. Schnyder, Zürich 2018, S. 131–144</w:t>
      </w:r>
    </w:p>
    <w:p>
      <w:pPr>
        <w:spacing w:after="240" w:line="240" w:lineRule="atLeast"/>
      </w:pPr>
      <w:r>
        <w:rPr>
          <w:smallCaps w:val="1"/>
          <w:caps w:val="0"/>
        </w:rPr>
        <w:t xml:space="preserve">Trüten Dirk</w:t>
      </w:r>
      <w:r>
        <w:rPr/>
        <w:t xml:space="preserve">/</w:t>
      </w:r>
      <w:r>
        <w:rPr>
          <w:smallCaps w:val="1"/>
          <w:caps w:val="0"/>
        </w:rPr>
        <w:t xml:space="preserve">Baumgartner Tobias</w:t>
      </w:r>
      <w:r>
        <w:rPr/>
        <w:t xml:space="preserve">, „Taxi Driver“ – oder: Was bedeutet das internationale Recht für die Regulierung von Taxidienstleistungen in der Schweiz?, in: Notter, Markus/Weber, Rolf H./Heinmann, Andreas/Baumgartner, Tobias (Hrsg.), Europäische Idee und Integration - mittendrin und nicht dabei? Liber amicorum für Andreas Kellerhals, Zürich 2018, S. 395–406</w:t>
      </w:r>
    </w:p>
    <w:p>
      <w:pPr>
        <w:spacing w:after="240" w:line="240" w:lineRule="atLeast"/>
      </w:pPr>
      <w:r>
        <w:rPr>
          <w:smallCaps w:val="1"/>
          <w:caps w:val="0"/>
        </w:rPr>
        <w:t xml:space="preserve">Trüten Dirk</w:t>
      </w:r>
      <w:r>
        <w:rPr/>
        <w:t xml:space="preserve">, Kollisionsrecht, in: Trüten, Dirk/Brunner, Alexander/Baumgartner, Tobias (Hrsg.), Verbrauchervertragsrecht der Europäischen Union, Zürich 2017, S. 495–531</w:t>
      </w:r>
    </w:p>
    <w:p>
      <w:pPr>
        <w:spacing w:after="240" w:line="240" w:lineRule="atLeast"/>
      </w:pPr>
      <w:r>
        <w:rPr>
          <w:smallCaps w:val="1"/>
          <w:caps w:val="0"/>
        </w:rPr>
        <w:t xml:space="preserve">Trüten Dirk</w:t>
      </w:r>
      <w:r>
        <w:rPr/>
        <w:t xml:space="preserve">, Die zukünftige Rolle des Lugano-Übereinkommens, Veröffentlichungen des Schweizerischen Instituts für Rechtsvergleichung, in: Furrer, Andreas/Markus, Alexander/Pretelli, Ilaria (Hrsg.), Die Herausforderungen des Europäischen Zivilverfahrensrecht für Lugano-und Drittstaaten, Bd. 78, Zürich 2016, S. 195 ff.</w:t>
      </w:r>
    </w:p>
    <w:p>
      <w:pPr>
        <w:spacing w:after="240" w:line="240" w:lineRule="atLeast"/>
      </w:pPr>
      <w:r>
        <w:rPr>
          <w:smallCaps w:val="1"/>
          <w:caps w:val="0"/>
        </w:rPr>
        <w:t xml:space="preserve">Trüten Dirk</w:t>
      </w:r>
      <w:r>
        <w:rPr/>
        <w:t xml:space="preserve">, Paradigmenwechsel im europäischen Finanzverfassungsrecht, Vom Grundsatz der mitgliedstaatlichen Eigenverantwortung zur Haftungsgemeinschaft, in: Fahrländer, Lukas/Heizmann, Reto A. (Hrsg.), Europäisierung der schweizerischen Rechtsordnung, Analysen und Perspektiven von Assistierenden des Rechtswissenschaftlichen Instituts der Universität Zürich, Zürich 2013, S. 59 ff.</w:t>
      </w:r>
    </w:p>
    <w:p>
      <w:pPr>
        <w:spacing w:after="240" w:line="240" w:lineRule="atLeast"/>
      </w:pPr>
      <w:r>
        <w:rPr>
          <w:smallCaps w:val="1"/>
          <w:caps w:val="0"/>
        </w:rPr>
        <w:t xml:space="preserve">Trüten Dirk</w:t>
      </w:r>
      <w:r>
        <w:rPr/>
        <w:t xml:space="preserve">, Aussen- und Sicherheitspolitik der EU, Europabrevier, in: Europa Institut an der Universität Zürich (Hrsg.), Europabrevier 2012 – Herausforderungen und Perspektiven, Zürich 2012, S. 75 ff.</w:t>
      </w:r>
    </w:p>
    <w:p>
      <w:pPr>
        <w:spacing w:after="240" w:line="240" w:lineRule="atLeast"/>
      </w:pPr>
      <w:r>
        <w:rPr>
          <w:smallCaps w:val="1"/>
          <w:caps w:val="0"/>
        </w:rPr>
        <w:t xml:space="preserve">Trüten Dirk</w:t>
      </w:r>
      <w:r>
        <w:rPr/>
        <w:t xml:space="preserve">, Internationales Zivilverfahrensrecht/IPR, in: Kellerhals, Andreas (Hrsg.), Wirtschaftsrecht Schweiz-EG, Jahrbuch 2009/10, Zürich 2010, S. 293 ff.</w:t>
      </w:r>
    </w:p>
    <w:p>
      <w:pPr>
        <w:spacing w:after="240" w:line="240" w:lineRule="atLeast"/>
      </w:pPr>
      <w:r>
        <w:rPr>
          <w:smallCaps w:val="1"/>
          <w:caps w:val="0"/>
        </w:rPr>
        <w:t xml:space="preserve">Trüten Dirk</w:t>
      </w:r>
      <w:r>
        <w:rPr/>
        <w:t xml:space="preserve">, Gesellschaftsrecht, in: Kellerhals, A. (Hrsg.), Wirtschaftsrecht Schweiz-EG, Jahrbuch 2007/2008, Zürich 2008, S. 29 ff.</w:t>
      </w:r>
    </w:p>
    <w:p>
      <w:pPr>
        <w:spacing w:after="240" w:line="240" w:lineRule="atLeast"/>
      </w:pPr>
      <w:r>
        <w:rPr>
          <w:smallCaps w:val="1"/>
          <w:caps w:val="0"/>
        </w:rPr>
        <w:t xml:space="preserve">Trüten Dirk</w:t>
      </w:r>
      <w:r>
        <w:rPr/>
        <w:t xml:space="preserve">, Gesellschaftsrecht, in: Kellerhals, A. (Hrsg.), Wirtschaftsrecht Schweiz-EG, Jahrbuch 2006/2007, Zürich 2007, S. 23 ff.</w:t>
      </w:r>
    </w:p>
    <w:p>
      <w:pPr>
        <w:spacing w:after="240" w:line="240" w:lineRule="atLeast"/>
      </w:pPr>
      <w:r>
        <w:rPr>
          <w:smallCaps w:val="1"/>
          <w:caps w:val="0"/>
        </w:rPr>
        <w:t xml:space="preserve">Trüten Dirk</w:t>
      </w:r>
      <w:r>
        <w:rPr/>
        <w:t xml:space="preserve">, Umwelt, in: Thürer, Daniel/Weber, Rolf H./Portmann, Wolfgang/Kellerhals, Andreas (Hrsg.), Bilaterale Verträge I &amp; II Schweiz-EU, Zürich 2007, S. 835–864</w:t>
      </w:r>
    </w:p>
    <w:p>
      <w:pPr>
        <w:spacing w:after="240" w:line="240" w:lineRule="atLeast"/>
      </w:pPr>
      <w:r>
        <w:rPr>
          <w:smallCaps w:val="1"/>
          <w:caps w:val="0"/>
        </w:rPr>
        <w:t xml:space="preserve">Trüten Dirk</w:t>
      </w:r>
      <w:r>
        <w:rPr/>
        <w:t xml:space="preserve">, Gesellschaftsrecht, in: Kellerhals, A. (Hrsg.), Wirtschaftsrecht Schweiz-EG, Jahrbuch 2005/2006, Zürich 2006, S. 25 ff.</w:t>
      </w:r>
    </w:p>
    <w:p>
      <w:pPr>
        <w:spacing w:after="240" w:line="240" w:lineRule="atLeast"/>
      </w:pPr>
      <w:r>
        <w:rPr>
          <w:smallCaps w:val="1"/>
          <w:caps w:val="0"/>
        </w:rPr>
        <w:t xml:space="preserve">Trüten Dirk</w:t>
      </w:r>
      <w:r>
        <w:rPr/>
        <w:t xml:space="preserve">, Auswirkungen einer Mitgliedschaft der Schweiz in der Europäischen Union bzw. im Europäischen Wirtschaftsraum auf die Ausübung der Referendumsrechte auf Bundesebene, Studie im Rahmen des Integrationsberichts des Bundes 1999, Veröffentlichungen des Schweizerischen Instituts für Rechtsvergleichung, in: Schweizerisches Institut für Rechtsvergleichung (Hrsg.), Staatsrechtliche Auswirkungen einer Mitgliedschaft in der Europäischen Union, Bd. 38, Zürich 1999</w:t>
      </w:r>
    </w:p>
    <w:p>
      <w:pPr>
        <w:spacing w:after="240" w:line="240" w:lineRule="atLeast"/>
      </w:pPr>
      <w:r>
        <w:rPr>
          <w:smallCaps w:val="1"/>
          <w:caps w:val="0"/>
        </w:rPr>
        <w:t xml:space="preserve">Trüten Dirk</w:t>
      </w:r>
      <w:r>
        <w:rPr/>
        <w:t xml:space="preserve">, Europakompatibilität des Revisionsentwurfs, in: Böckli, Peter/Forstmoser, Peter/Rapp, Jean-Marc (Hrsg.), Reform des GmbH-Rechts, Expertenentwurf vom 29. November 1996 für eine Reform des Rechts der Gesellschaft mit beschränkter Haftung, Zürich 1997</w:t>
      </w:r>
    </w:p>
    <w:p>
      <w:pPr>
        <w:spacing w:after="240" w:line="240" w:lineRule="atLeast"/>
        <w:rPr>
          <w:b/>
          <w:bCs/>
        </w:rPr>
      </w:pPr>
      <w:r>
        <w:rPr>
          <w:b/>
          <w:bCs/>
        </w:rPr>
        <w:t xml:space="preserve">Beitrag in einem Kommentar</w:t>
      </w:r>
    </w:p>
    <w:p>
      <w:pPr>
        <w:spacing w:after="240" w:line="240" w:lineRule="atLeast"/>
      </w:pPr>
      <w:r>
        <w:rPr>
          <w:smallCaps w:val="1"/>
          <w:caps w:val="0"/>
        </w:rPr>
        <w:t xml:space="preserve">Trüten Dirk</w:t>
      </w:r>
      <w:r>
        <w:rPr/>
        <w:t xml:space="preserve">, Internationales Versicherungsrecht, in: Loacker, Leander/Grolimund, Pascal/Schnyder, Anton K. (Hrsg.), Basler Kommentar zum VVG, 2. Aufl., Basel 2022</w:t>
      </w:r>
    </w:p>
    <w:p>
      <w:pPr>
        <w:spacing w:after="240" w:line="240" w:lineRule="atLeast"/>
      </w:pPr>
      <w:r>
        <w:rPr>
          <w:smallCaps w:val="1"/>
          <w:caps w:val="0"/>
        </w:rPr>
        <w:t xml:space="preserve">Trüten Dirk</w:t>
      </w:r>
      <w:r>
        <w:rPr/>
        <w:t xml:space="preserve">, Art. 195 ff. IPRG, Zürcher Kommentar, in: Müller-Chen, Markus/Widmer Lüchinger, Corinne (Hrsg.), Zürcher Kommentar zum IPRG, Kommentar zum Bundesgesetz über das Internationale Privatrecht (IPRG) vom 18. Dezember 1987, 3., aktualisierte und teilweise vollständig neu bearbeitete Auflage, Zürich 2018</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Dirk Trüten / Andreas Kellerhals</w:t>
      </w:r>
      <w:r>
        <w:rPr/>
        <w:t xml:space="preserve"> (Hrsg.), Subventionen in der Schweiz, Implikationen einer Übernahme des EU-Beihilferechts in ausgewählten Sektoren, Zürich 2023</w:t>
      </w:r>
    </w:p>
    <w:p>
      <w:pPr>
        <w:spacing w:after="240" w:line="240" w:lineRule="atLeast"/>
      </w:pPr>
      <w:r>
        <w:rPr>
          <w:smallCaps w:val="1"/>
          <w:caps w:val="0"/>
        </w:rPr>
        <w:t xml:space="preserve">Trüten, Dirk</w:t>
      </w:r>
      <w:r>
        <w:rPr/>
        <w:t xml:space="preserve">/</w:t>
      </w:r>
      <w:r>
        <w:rPr>
          <w:smallCaps w:val="1"/>
          <w:caps w:val="0"/>
        </w:rPr>
        <w:t xml:space="preserve">Brunner, Alexander</w:t>
      </w:r>
      <w:r>
        <w:rPr/>
        <w:t xml:space="preserve">/</w:t>
      </w:r>
      <w:r>
        <w:rPr>
          <w:smallCaps w:val="1"/>
          <w:caps w:val="0"/>
        </w:rPr>
        <w:t xml:space="preserve">Baumgartner, Tobias</w:t>
      </w:r>
      <w:r>
        <w:rPr/>
        <w:t xml:space="preserve"> (Hrsg.), Verbrauchervertragsrecht der Europäischen Union, Zürich 2017</w:t>
      </w:r>
    </w:p>
    <w:p>
      <w:pPr>
        <w:spacing w:after="240" w:line="240" w:lineRule="atLeast"/>
        <w:rPr>
          <w:b/>
          <w:bCs/>
        </w:rPr>
      </w:pPr>
      <w:r>
        <w:rPr>
          <w:b/>
          <w:bCs/>
        </w:rPr>
        <w:t xml:space="preserve">Rezension, Editorial</w:t>
      </w:r>
    </w:p>
    <w:p>
      <w:pPr>
        <w:spacing w:after="240" w:line="240" w:lineRule="atLeast"/>
      </w:pPr>
      <w:r>
        <w:rPr>
          <w:smallCaps w:val="1"/>
          <w:caps w:val="0"/>
        </w:rPr>
        <w:t xml:space="preserve">Trüten Dirk</w:t>
      </w:r>
      <w:r>
        <w:rPr/>
        <w:t xml:space="preserve">, Buchbesprechung zu: Politik und Internationales Privatrecht / Gössl, Lilian (Hrsg.), Tübingen 2017, in: Rabels Zeitschrift fuer Auslaendisches und Internationales Privatrecht 2019</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Girsberger Daniel</w:t>
      </w:r>
      <w:r>
        <w:rPr/>
        <w:t xml:space="preserve">/</w:t>
      </w:r>
      <w:r>
        <w:rPr>
          <w:smallCaps w:val="1"/>
          <w:caps w:val="0"/>
        </w:rPr>
        <w:t xml:space="preserve">Dirk Trüten</w:t>
      </w:r>
      <w:r>
        <w:rPr/>
        <w:t xml:space="preserve">/</w:t>
      </w:r>
      <w:r>
        <w:rPr>
          <w:smallCaps w:val="1"/>
          <w:caps w:val="0"/>
        </w:rPr>
        <w:t xml:space="preserve">Brandao de Oliveira Agatha</w:t>
      </w:r>
      <w:r>
        <w:rPr/>
        <w:t xml:space="preserve">, Vernehmlassungsverfahren Genehmigung des Haager Gerichtsstandsübereinkommens, 05.07.2022</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Dirk Trüten</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Dirk Trüten</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