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em. Dr. Cornelia Bohn</w:t>
      </w:r>
    </w:p>
    <w:p>
      <w:pPr>
        <w:spacing w:after="240" w:line="240" w:lineRule="atLeast"/>
      </w:pPr>
      <w:r>
        <w:t xml:space="preserve">ORCID: 0000-0001-8920-8243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Bohn, C. (2017). </w:t>
      </w:r>
      <w:r>
        <w:rPr>
          <w:i w:val="1"/>
          <w:iCs w:val="1"/>
        </w:rPr>
        <w:t xml:space="preserve">Autonomien in Zusammenhängen. Formenkombinatorik und die Verzeitlichung des Bildlichen</w:t>
      </w:r>
      <w:r>
        <w:rPr/>
        <w:t xml:space="preserve">. Paderborn: Fink.</w:t>
      </w:r>
    </w:p>
    <w:p>
      <w:pPr>
        <w:spacing w:after="240" w:line="240" w:lineRule="atLeast"/>
      </w:pPr>
      <w:r>
        <w:rPr/>
        <w:t xml:space="preserve">Bohn, C. (2006). </w:t>
      </w:r>
      <w:r>
        <w:rPr>
          <w:i w:val="1"/>
          <w:iCs w:val="1"/>
        </w:rPr>
        <w:t xml:space="preserve">Inklusion, Exklusion und die Person</w:t>
      </w:r>
      <w:r>
        <w:rPr/>
        <w:t xml:space="preserve">. Konstanz: UVK.</w:t>
      </w:r>
    </w:p>
    <w:p>
      <w:pPr>
        <w:spacing w:after="240" w:line="240" w:lineRule="atLeast"/>
      </w:pPr>
      <w:r>
        <w:rPr/>
        <w:t xml:space="preserve">Bohn, C. (1999). </w:t>
      </w:r>
      <w:r>
        <w:rPr>
          <w:i w:val="1"/>
          <w:iCs w:val="1"/>
        </w:rPr>
        <w:t xml:space="preserve">Schriftlichkeit und Gesellschaft: Kommunikation und Sozialität der Neuzeit</w:t>
      </w:r>
      <w:r>
        <w:rPr/>
        <w:t xml:space="preserve">. Opladen: Westdeutscher Verlag.</w:t>
      </w:r>
    </w:p>
    <w:p>
      <w:pPr>
        <w:spacing w:after="240" w:line="240" w:lineRule="atLeast"/>
      </w:pPr>
      <w:r>
        <w:rPr/>
        <w:t xml:space="preserve">Bohn, C. (1991). </w:t>
      </w:r>
      <w:r>
        <w:rPr>
          <w:i w:val="1"/>
          <w:iCs w:val="1"/>
        </w:rPr>
        <w:t xml:space="preserve">Habitus und Kontext: Ein kritischer Beitrag zur Sozialtheorie Bourdieus</w:t>
      </w:r>
      <w:r>
        <w:rPr/>
        <w:t xml:space="preserve">. Opladen: Westdeutscher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Stojanov, T., Aghlmandi, S., Müller, A., Moroder, P., Lädermann, A., Bohn, C., … Camenzind, R. (2025). Update of a prediction model for postoperative shoulder stiffness after arthroscopic rotator cuff repair. </w:t>
      </w:r>
      <w:r>
        <w:rPr>
          <w:i w:val="1"/>
          <w:iCs w:val="1"/>
        </w:rPr>
        <w:t xml:space="preserve">COMMUNICATIONS MEDICINE</w:t>
      </w:r>
      <w:r>
        <w:rPr/>
        <w:t xml:space="preserve">. https://doi.org/10.1038/S43856-025-01125-W</w:t>
      </w:r>
    </w:p>
    <w:p>
      <w:pPr>
        <w:spacing w:after="240" w:line="240" w:lineRule="atLeast"/>
      </w:pPr>
      <w:r>
        <w:rPr/>
        <w:t xml:space="preserve">Bohn, C. (2022). Contemporary Art and Event-Based Social Theory. </w:t>
      </w:r>
      <w:r>
        <w:rPr>
          <w:i w:val="1"/>
          <w:iCs w:val="1"/>
        </w:rPr>
        <w:t xml:space="preserve">Theory, Culture and Society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 (3), 51–74. https://doi.org/doi.org/10.1177/02632764211042085</w:t>
      </w:r>
    </w:p>
    <w:p>
      <w:pPr>
        <w:spacing w:after="240" w:line="240" w:lineRule="atLeast"/>
      </w:pPr>
      <w:r>
        <w:rPr/>
        <w:t xml:space="preserve">Bohn, C. (2022). Dokumentieren als kommunikative Form im Medium der Darstellung. </w:t>
      </w:r>
      <w:r>
        <w:rPr>
          <w:i w:val="1"/>
          <w:iCs w:val="1"/>
        </w:rPr>
        <w:t xml:space="preserve">Soziale Systeme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(2), 491–517. https://doi.org/10.5281/zenodo.7382807</w:t>
      </w:r>
    </w:p>
    <w:p>
      <w:pPr>
        <w:spacing w:after="240" w:line="240" w:lineRule="atLeast"/>
      </w:pPr>
      <w:r>
        <w:rPr/>
        <w:t xml:space="preserve">Bohn, C. (2022). Dokumentieren als kommunikative Form im Medium der Darstellung. </w:t>
      </w:r>
      <w:r>
        <w:rPr>
          <w:i w:val="1"/>
          <w:iCs w:val="1"/>
        </w:rPr>
        <w:t xml:space="preserve">Soziale Systeme</w:t>
      </w:r>
      <w:r>
        <w:rPr/>
        <w:t xml:space="preserve">, 491–517.</w:t>
      </w:r>
    </w:p>
    <w:p>
      <w:pPr>
        <w:spacing w:after="240" w:line="240" w:lineRule="atLeast"/>
      </w:pPr>
      <w:r>
        <w:rPr/>
        <w:t xml:space="preserve">Bohn, C. (2021). Contemporary Art and Event-Based Social Theory. </w:t>
      </w:r>
      <w:r>
        <w:rPr>
          <w:i w:val="1"/>
          <w:iCs w:val="1"/>
        </w:rPr>
        <w:t xml:space="preserve">Theory, Culture and Society</w:t>
      </w:r>
      <w:r>
        <w:rPr/>
        <w:t xml:space="preserve">, </w:t>
      </w:r>
      <w:r>
        <w:rPr>
          <w:i w:val="1"/>
          <w:iCs w:val="1"/>
        </w:rPr>
        <w:t xml:space="preserve">0</w:t>
      </w:r>
      <w:r>
        <w:rPr/>
        <w:t xml:space="preserve"> (0), 1–24. https://doi.org/10.5281/zenodo.5647269</w:t>
      </w:r>
    </w:p>
    <w:p>
      <w:pPr>
        <w:spacing w:after="240" w:line="240" w:lineRule="atLeast"/>
      </w:pPr>
      <w:r>
        <w:rPr/>
        <w:t xml:space="preserve">Bohn, C. (2018). Twofold Freedom and Contingency. </w:t>
      </w:r>
      <w:r>
        <w:rPr>
          <w:i w:val="1"/>
          <w:iCs w:val="1"/>
        </w:rPr>
        <w:t xml:space="preserve">Simmel Studies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(1), 45–78. https://doi.org/10.5281/zenodo.5702826</w:t>
      </w:r>
    </w:p>
    <w:p>
      <w:pPr>
        <w:spacing w:after="240" w:line="240" w:lineRule="atLeast"/>
      </w:pPr>
      <w:r>
        <w:rPr/>
        <w:t xml:space="preserve">Bohn, C. (2016). Geld, Macht und selbstbezügliche multiple Freiheiten: Constant, Simmel, Luhmann. </w:t>
      </w:r>
      <w:r>
        <w:rPr>
          <w:i w:val="1"/>
          <w:iCs w:val="1"/>
        </w:rPr>
        <w:t xml:space="preserve">Sociologia Internationalis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(1), 37–59.</w:t>
      </w:r>
    </w:p>
    <w:p>
      <w:pPr>
        <w:spacing w:after="240" w:line="240" w:lineRule="atLeast"/>
      </w:pPr>
      <w:r>
        <w:rPr/>
        <w:t xml:space="preserve">Bohn, C. (2015). Kahei ni okeru hôsetsu to haijo （貨幣における包摂と排除). </w:t>
      </w:r>
      <w:r>
        <w:rPr>
          <w:i w:val="1"/>
          <w:iCs w:val="1"/>
        </w:rPr>
        <w:t xml:space="preserve">Nenpoh shakaigaku-ronshu (年報社会学論集)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, 1–17. Abgerufen von https://www.jstage.jst.go.jp/article/kantoh/2015/28/2015_1/_article</w:t>
      </w:r>
    </w:p>
    <w:p>
      <w:pPr>
        <w:spacing w:after="240" w:line="240" w:lineRule="atLeast"/>
      </w:pPr>
      <w:r>
        <w:rPr/>
        <w:t xml:space="preserve">Bohn, C. (2014). Inclusión y exclusión monetaria. </w:t>
      </w:r>
      <w:r>
        <w:rPr>
          <w:i w:val="1"/>
          <w:iCs w:val="1"/>
        </w:rPr>
        <w:t xml:space="preserve">Revista Mad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, 1–28. https://doi.org/10.5281/zenodo.1248743</w:t>
      </w:r>
    </w:p>
    <w:p>
      <w:pPr>
        <w:spacing w:after="240" w:line="240" w:lineRule="atLeast"/>
      </w:pPr>
      <w:r>
        <w:rPr/>
        <w:t xml:space="preserve">Bohn, C., &amp; Volkenandt, C. (2013). Bilder des Geldes: Ikonische Umbauten als visuelle Semantik. </w:t>
      </w:r>
      <w:r>
        <w:rPr>
          <w:i w:val="1"/>
          <w:iCs w:val="1"/>
        </w:rPr>
        <w:t xml:space="preserve">Rheinsprung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(5), 91–103. Abgerufen von https://rheinsprung11.unibas.ch/fileadmin/documents/Edition_PDF/Ausgabe05/Thema_Bohn-und-Volkenandt.pdf</w:t>
      </w:r>
    </w:p>
    <w:p>
      <w:pPr>
        <w:spacing w:after="240" w:line="240" w:lineRule="atLeast"/>
      </w:pPr>
      <w:r>
        <w:rPr/>
        <w:t xml:space="preserve">Bohn, C. (2013). Bildlichkeit und Sozialität: Welterzeugung mit visuellen Formen. </w:t>
      </w:r>
      <w:r>
        <w:rPr>
          <w:i w:val="1"/>
          <w:iCs w:val="1"/>
        </w:rPr>
        <w:t xml:space="preserve">Soziale Systeme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(1–2), 40–69. Abgerufen von https://www.unilu.ch/fileadmin/shared/Publikationen/bohn_2013_Bildlichkeit-und-Sozialitaet_Welterzeugung-mit-visuellen-Formen_abstract.pdf</w:t>
      </w:r>
    </w:p>
    <w:p>
      <w:pPr>
        <w:spacing w:after="240" w:line="240" w:lineRule="atLeast"/>
      </w:pPr>
      <w:r>
        <w:rPr/>
        <w:t xml:space="preserve">Bohn, C. (2012). Printwissen, Screenwissen: Transformation der Wissenskultur. </w:t>
      </w:r>
      <w:r>
        <w:rPr>
          <w:i w:val="1"/>
          <w:iCs w:val="1"/>
        </w:rPr>
        <w:t xml:space="preserve">swissfuture, Magazin für Zukunftsmonitoring</w:t>
      </w:r>
      <w:r>
        <w:rPr/>
        <w:t xml:space="preserve">, (1), 10–14.</w:t>
      </w:r>
    </w:p>
    <w:p>
      <w:pPr>
        <w:spacing w:after="240" w:line="240" w:lineRule="atLeast"/>
      </w:pPr>
      <w:r>
        <w:rPr/>
        <w:t xml:space="preserve">Bohn, C. (2011). Wenn ein Talbewohner und theoretischer Kärrner zur Schippe greift: Alois Hahn zum 70. Geburtstag. </w:t>
      </w:r>
      <w:r>
        <w:rPr>
          <w:i w:val="1"/>
          <w:iCs w:val="1"/>
        </w:rPr>
        <w:t xml:space="preserve">KZfSS</w:t>
      </w:r>
      <w:r>
        <w:rPr/>
        <w:t xml:space="preserve">, </w:t>
      </w:r>
      <w:r>
        <w:rPr>
          <w:i w:val="1"/>
          <w:iCs w:val="1"/>
        </w:rPr>
        <w:t xml:space="preserve">63</w:t>
      </w:r>
      <w:r>
        <w:rPr/>
        <w:t xml:space="preserve"> (3), 531–535. Abgerufen von https://www.unilu.ch/fileadmin/fakultaeten/ksf/institute/sozsem/dok/Mitarbeitende/Bohn/Bohn_2011a_Wenn_ein_Talbewohner_und_theoretischer_Ka__rrner_zur_Schippe_greift_PDFA.pdf</w:t>
      </w:r>
    </w:p>
    <w:p>
      <w:pPr>
        <w:spacing w:after="240" w:line="240" w:lineRule="atLeast"/>
      </w:pPr>
      <w:r>
        <w:rPr/>
        <w:t xml:space="preserve">Bohn, C. (2010). Die Universität als Ort der Lektüre: Printkultur trifft Screenkultur. </w:t>
      </w:r>
      <w:r>
        <w:rPr>
          <w:i w:val="1"/>
          <w:iCs w:val="1"/>
        </w:rPr>
        <w:t xml:space="preserve">Soziale Systeme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(2), 368–379. Abgerufen von https://www.unilu.ch/fileadmin/fakultaeten/ksf/institute/sozsem/dok/Mitarbeitende/Bohn/Bohn_2011_Die_Universitaet_als_Ort_der_Lektuere_Printkultur_trifft_Screenkultur_PDFA.pdf</w:t>
      </w:r>
    </w:p>
    <w:p>
      <w:pPr>
        <w:spacing w:after="240" w:line="240" w:lineRule="atLeast"/>
      </w:pPr>
      <w:r>
        <w:rPr/>
        <w:t xml:space="preserve">Bohn, C. (2008). Inklusion und Exklusion : Theorien und Befunde. </w:t>
      </w:r>
      <w:r>
        <w:rPr>
          <w:i w:val="1"/>
          <w:iCs w:val="1"/>
        </w:rPr>
        <w:t xml:space="preserve">Soziale Systeme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(2), 171–190. Abgerufen von https://www.unilu.ch/fileadmin/fakultaeten/ksf/institute/sozsem/dok/Mitarbeitende/Bohn/Bohn_2008_Inklusion_und_Exklusion_Theorien_und_Befunde.pdf</w:t>
      </w:r>
    </w:p>
    <w:p>
      <w:pPr>
        <w:spacing w:after="240" w:line="240" w:lineRule="atLeast"/>
      </w:pPr>
      <w:r>
        <w:rPr/>
        <w:t xml:space="preserve">Bohn, C. (2006). Passregime : Vom Geleitbrief zur Identifikation der Person. </w:t>
      </w:r>
      <w:r>
        <w:rPr>
          <w:i w:val="1"/>
          <w:iCs w:val="1"/>
        </w:rPr>
        <w:t xml:space="preserve">AWR-Bulletin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(4), 254–269. Abgerufen von https://www.unilu.ch/fileadmin/shared/Publikationen/bohn_2006_passregime.pdf</w:t>
      </w:r>
    </w:p>
    <w:p>
      <w:pPr>
        <w:spacing w:after="240" w:line="240" w:lineRule="atLeast"/>
      </w:pPr>
      <w:r>
        <w:rPr/>
        <w:t xml:space="preserve">Bohn, C. (2006). Einleitung: Inklusion und Exklusion: Analytiken, Semantiken und strukturelle Entwicklungen. </w:t>
      </w:r>
      <w:r>
        <w:rPr>
          <w:i w:val="1"/>
          <w:iCs w:val="1"/>
        </w:rPr>
        <w:t xml:space="preserve">Annali di Sociologia/Soziologisches Jahrbuch</w:t>
      </w:r>
      <w:r>
        <w:rPr/>
        <w:t xml:space="preserve">, (16), 7–27.</w:t>
      </w:r>
    </w:p>
    <w:p>
      <w:pPr>
        <w:spacing w:after="240" w:line="240" w:lineRule="atLeast"/>
      </w:pPr>
      <w:r>
        <w:rPr/>
        <w:t xml:space="preserve">Bohn, C. (2006). Figure di inclusione ed esclusione. </w:t>
      </w:r>
      <w:r>
        <w:rPr>
          <w:i w:val="1"/>
          <w:iCs w:val="1"/>
        </w:rPr>
        <w:t xml:space="preserve">Annali di Sociologia/Soziologisches Jahrbuch</w:t>
      </w:r>
      <w:r>
        <w:rPr/>
        <w:t xml:space="preserve">, (16), 157–173.</w:t>
      </w:r>
    </w:p>
    <w:p>
      <w:pPr>
        <w:spacing w:after="240" w:line="240" w:lineRule="atLeast"/>
      </w:pPr>
      <w:r>
        <w:rPr/>
        <w:t xml:space="preserve">Bohn, C. (2006). Inklusions- und Exklusionsfiguren. </w:t>
      </w:r>
      <w:r>
        <w:rPr>
          <w:i w:val="1"/>
          <w:iCs w:val="1"/>
        </w:rPr>
        <w:t xml:space="preserve">Annali di Sociologia/Soziologisches Jahrbuch</w:t>
      </w:r>
      <w:r>
        <w:rPr/>
        <w:t xml:space="preserve">, (16), 141–175.</w:t>
      </w:r>
    </w:p>
    <w:p>
      <w:pPr>
        <w:spacing w:after="240" w:line="240" w:lineRule="atLeast"/>
      </w:pPr>
      <w:r>
        <w:rPr/>
        <w:t xml:space="preserve">Bohn, C. (2005). Wahrnehmung und Kommunikation. </w:t>
      </w:r>
      <w:r>
        <w:rPr>
          <w:i w:val="1"/>
          <w:iCs w:val="1"/>
        </w:rPr>
        <w:t xml:space="preserve">Medienwissenschaft Schweiz</w:t>
      </w:r>
      <w:r>
        <w:rPr/>
        <w:t xml:space="preserve">, (1), 26–32.</w:t>
      </w:r>
    </w:p>
    <w:p>
      <w:pPr>
        <w:spacing w:after="240" w:line="240" w:lineRule="atLeast"/>
      </w:pPr>
      <w:r>
        <w:rPr/>
        <w:t xml:space="preserve">Bohn, C., &amp; Hahn, A. (2002). Patterns of Inclusion and Exclusion: Property, Nation and Religion. </w:t>
      </w:r>
      <w:r>
        <w:rPr>
          <w:i w:val="1"/>
          <w:iCs w:val="1"/>
        </w:rPr>
        <w:t xml:space="preserve">Soziale Systeme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(1), 8–26.</w:t>
      </w:r>
    </w:p>
    <w:p>
      <w:pPr>
        <w:spacing w:after="240" w:line="240" w:lineRule="atLeast"/>
      </w:pPr>
      <w:r>
        <w:rPr/>
        <w:t xml:space="preserve">Bohn, C. (2001). Mediatisierte Normalität. </w:t>
      </w:r>
      <w:r>
        <w:rPr>
          <w:i w:val="1"/>
          <w:iCs w:val="1"/>
        </w:rPr>
        <w:t xml:space="preserve">Sociologia Internationalis</w:t>
      </w:r>
      <w:r>
        <w:rPr/>
        <w:t xml:space="preserve">, (2), 235–251.</w:t>
      </w:r>
    </w:p>
    <w:p>
      <w:pPr>
        <w:spacing w:after="240" w:line="240" w:lineRule="atLeast"/>
      </w:pPr>
      <w:r>
        <w:rPr/>
        <w:t xml:space="preserve">Bohn, C. (2001). Nachruf: Pierre Bourdieu, 1. August 1930 – 23. Januar 2002. </w:t>
      </w:r>
      <w:r>
        <w:rPr>
          <w:i w:val="1"/>
          <w:iCs w:val="1"/>
        </w:rPr>
        <w:t xml:space="preserve">Sociologia Internationalis</w:t>
      </w:r>
      <w:r>
        <w:rPr/>
        <w:t xml:space="preserve">, (2), 169–173.</w:t>
      </w:r>
    </w:p>
    <w:p>
      <w:pPr>
        <w:spacing w:after="240" w:line="240" w:lineRule="atLeast"/>
      </w:pPr>
      <w:r>
        <w:rPr/>
        <w:t xml:space="preserve">Bohn, C. (2000). Sociologie du secret postale. </w:t>
      </w:r>
      <w:r>
        <w:rPr>
          <w:i w:val="1"/>
          <w:iCs w:val="1"/>
        </w:rPr>
        <w:t xml:space="preserve">Sociétés et représentations: La Croisée des médias</w:t>
      </w:r>
      <w:r>
        <w:rPr/>
        <w:t xml:space="preserve">, (9), 305–316.</w:t>
      </w:r>
    </w:p>
    <w:p>
      <w:pPr>
        <w:spacing w:after="240" w:line="240" w:lineRule="atLeast"/>
      </w:pPr>
      <w:r>
        <w:rPr/>
        <w:t xml:space="preserve">Bohn, C. (2000). Kleidung als Kommunikationsmedium. </w:t>
      </w:r>
      <w:r>
        <w:rPr>
          <w:i w:val="1"/>
          <w:iCs w:val="1"/>
        </w:rPr>
        <w:t xml:space="preserve">Soziale Systeme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(1), 111–137. Abgerufen von https://www.unilu.ch/fileadmin/shared/Publikationen/bohn_clothing-as_medium3.pdf</w:t>
      </w:r>
    </w:p>
    <w:p>
      <w:pPr>
        <w:spacing w:after="240" w:line="240" w:lineRule="atLeast"/>
      </w:pPr>
      <w:r>
        <w:rPr/>
        <w:t xml:space="preserve">Bohn, C. (1999). Schnittstellen: Konversation und Schriftlichkeit im Übergang zur Moderne. </w:t>
      </w:r>
      <w:r>
        <w:rPr>
          <w:i w:val="1"/>
          <w:iCs w:val="1"/>
        </w:rPr>
        <w:t xml:space="preserve">Berliner Journal für Soziologie</w:t>
      </w:r>
      <w:r>
        <w:rPr/>
        <w:t xml:space="preserve">, (2), 213–232.</w:t>
      </w:r>
    </w:p>
    <w:p>
      <w:pPr>
        <w:spacing w:after="240" w:line="240" w:lineRule="atLeast"/>
      </w:pPr>
      <w:r>
        <w:rPr/>
        <w:t xml:space="preserve">Bohn, C. (1998). Différenciation et ensemble significatifs: Le double paradigme dans les théories de différenciation sociale. </w:t>
      </w:r>
      <w:r>
        <w:rPr>
          <w:i w:val="1"/>
          <w:iCs w:val="1"/>
        </w:rPr>
        <w:t xml:space="preserve">Sociétés. Revue des Sciences Humaines et Sociales: La différenciation</w:t>
      </w:r>
      <w:r>
        <w:rPr/>
        <w:t xml:space="preserve">, (61), 13–18.</w:t>
      </w:r>
    </w:p>
    <w:p>
      <w:pPr>
        <w:spacing w:after="240" w:line="240" w:lineRule="atLeast"/>
      </w:pPr>
      <w:r>
        <w:rPr/>
        <w:t xml:space="preserve">Bohn, C. (1993). Rhetorik und Hermeneutik in der Selbstbeschreibung der Kommunikation. </w:t>
      </w:r>
      <w:r>
        <w:rPr>
          <w:i w:val="1"/>
          <w:iCs w:val="1"/>
        </w:rPr>
        <w:t xml:space="preserve">Sociologia Internationalis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(2), 149–158.</w:t>
      </w:r>
    </w:p>
    <w:p>
      <w:pPr>
        <w:spacing w:after="240" w:line="240" w:lineRule="atLeast"/>
      </w:pPr>
      <w:r>
        <w:rPr/>
        <w:t xml:space="preserve">Bohn, C. (1992). Verstehen, Kommunikation und das Problem der Schriftlichkeit: von Luhmann zu Dilthey. </w:t>
      </w:r>
      <w:r>
        <w:rPr>
          <w:i w:val="1"/>
          <w:iCs w:val="1"/>
        </w:rPr>
        <w:t xml:space="preserve">Annali di Sociologia/ Soziologisches Jahrbuch</w:t>
      </w:r>
      <w:r>
        <w:rPr/>
        <w:t xml:space="preserve">, (8), 443–458.</w:t>
      </w:r>
    </w:p>
    <w:p>
      <w:pPr>
        <w:spacing w:after="240" w:line="240" w:lineRule="atLeast"/>
      </w:pPr>
      <w:r>
        <w:rPr/>
        <w:t xml:space="preserve">Bohn, C. (1992). Rhétorique et Herméneutique: L’oral et l’écrit dans l’autodescription de la communication. </w:t>
      </w:r>
      <w:r>
        <w:rPr>
          <w:i w:val="1"/>
          <w:iCs w:val="1"/>
        </w:rPr>
        <w:t xml:space="preserve">Regards Sociologiques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25–30.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Bohn, C. (2024). Macht, Geld und selbstbezügliche Freiheit. In Vogt-Spira, Gregor et al. (Hrsg.), </w:t>
      </w:r>
      <w:r>
        <w:rPr>
          <w:i w:val="1"/>
          <w:iCs w:val="1"/>
        </w:rPr>
        <w:t xml:space="preserve">Europäische Grundbegriff: Freiheit</w:t>
      </w:r>
      <w:r>
        <w:rPr/>
        <w:t xml:space="preserve"> (S. 225–243). Köln: Böhlau.</w:t>
      </w:r>
    </w:p>
    <w:p>
      <w:pPr>
        <w:spacing w:after="240" w:line="240" w:lineRule="atLeast"/>
      </w:pPr>
      <w:r>
        <w:rPr/>
        <w:t xml:space="preserve">Bohn, C. (2022). Documenting as a Communacive Form: What makes a Document a Document - a Sociological Perspective. In Hartung, Gerald, Schlupkothen, Frederik &amp; Schmidt, Karl-Heinrich (Hrsg.), </w:t>
      </w:r>
      <w:r>
        <w:rPr>
          <w:i w:val="1"/>
          <w:iCs w:val="1"/>
        </w:rPr>
        <w:t xml:space="preserve">Using Documents: A Multidisciplinary Approach to Document Theory</w:t>
      </w:r>
      <w:r>
        <w:rPr/>
        <w:t xml:space="preserve"> (1. Aufl., S. 83–109). Berlin/Boston: Walter de Gruyter. https://doi.org/doi.org/10.1515/9783110780888</w:t>
      </w:r>
    </w:p>
    <w:p>
      <w:pPr>
        <w:spacing w:after="240" w:line="240" w:lineRule="atLeast"/>
      </w:pPr>
      <w:r>
        <w:rPr/>
        <w:t xml:space="preserve">Bohn, C. (2022). Gegenwarten der Kunst: Ereignisse, Großereignisse, Morphogenesen. In Paul Buckermann (Hrsg.), </w:t>
      </w:r>
      <w:r>
        <w:rPr>
          <w:i w:val="1"/>
          <w:iCs w:val="1"/>
        </w:rPr>
        <w:t xml:space="preserve">Die Welten der documenta. Wissen und Geltung eines Großereignisses in der Kunst</w:t>
      </w:r>
      <w:r>
        <w:rPr/>
        <w:t xml:space="preserve"> (1. Aufl., S. 64–83). Weilerswist: Velbrück.</w:t>
      </w:r>
    </w:p>
    <w:p>
      <w:pPr>
        <w:spacing w:after="240" w:line="240" w:lineRule="atLeast"/>
      </w:pPr>
      <w:r>
        <w:rPr/>
        <w:t xml:space="preserve">Bohn, C. (im Druck). Documenting as Communicative Form. What makes a Document a Document - a Sociological Perspective. In Hartung, Gerald, Schlupkothen, Frederic &amp; Schmidt Karl-Heinrich (Hrsg.), </w:t>
      </w:r>
      <w:r>
        <w:rPr>
          <w:i w:val="1"/>
          <w:iCs w:val="1"/>
        </w:rPr>
        <w:t xml:space="preserve">Using Documents - Looking back and forward</w:t>
      </w:r>
      <w:r>
        <w:rPr/>
        <w:t xml:space="preserve">. Berlin: De Gruyter.</w:t>
      </w:r>
    </w:p>
    <w:p>
      <w:pPr>
        <w:spacing w:after="240" w:line="240" w:lineRule="atLeast"/>
      </w:pPr>
      <w:r>
        <w:rPr/>
        <w:t xml:space="preserve">Bohn, C., &amp; Hahn, A. (2020). Pierre Bourdieu (1930-2002). In Käsler, Dirk (Hrsg.), </w:t>
      </w:r>
      <w:r>
        <w:rPr>
          <w:i w:val="1"/>
          <w:iCs w:val="1"/>
        </w:rPr>
        <w:t xml:space="preserve">Klassiker der Soziologie 2</w:t>
      </w:r>
      <w:r>
        <w:rPr/>
        <w:t xml:space="preserve"> (6. Aufl., S. 289–310). München: C H Beck. https://doi.org/10.5281/zenodo.4486073</w:t>
      </w:r>
    </w:p>
    <w:p>
      <w:pPr>
        <w:spacing w:after="240" w:line="240" w:lineRule="atLeast"/>
      </w:pPr>
      <w:r>
        <w:rPr/>
        <w:t xml:space="preserve">Bohn, C. (2017). Dinero, forma y libertad auto-referencial doble: Constant, Simmel y Luhmann. In Vernik, Esteban &amp; Borisonik, Hernán (Hrsg.), </w:t>
      </w:r>
      <w:r>
        <w:rPr>
          <w:i w:val="1"/>
          <w:iCs w:val="1"/>
        </w:rPr>
        <w:t xml:space="preserve">Georg Simmel, un siglo después: Actualidad y perspectiva</w:t>
      </w:r>
      <w:r>
        <w:rPr/>
        <w:t xml:space="preserve"> (S. 55–79). Buenos Aires: Biblioteca Clacso, Consejo Latinoamericano de Ciencias Sociales. https://doi.org/10.5281/zenodo.1251583</w:t>
      </w:r>
    </w:p>
    <w:p>
      <w:pPr>
        <w:spacing w:after="240" w:line="240" w:lineRule="atLeast"/>
      </w:pPr>
      <w:r>
        <w:rPr/>
        <w:t xml:space="preserve">Bohn, C. (2017). Temporalität der Gegenwartskunst. In Bohn,Cornelia (Hrsg.), </w:t>
      </w:r>
      <w:r>
        <w:rPr>
          <w:i w:val="1"/>
          <w:iCs w:val="1"/>
        </w:rPr>
        <w:t xml:space="preserve">Autonomien in Zusammanhängen. Formenkombinatorik und die Verzeitlichung des Bildlichen</w:t>
      </w:r>
      <w:r>
        <w:rPr/>
        <w:t xml:space="preserve"> (S. 39–81). Paderborn: Fink. https://doi.org/10.5281/zenodo.1293359</w:t>
      </w:r>
    </w:p>
    <w:p>
      <w:pPr>
        <w:spacing w:after="240" w:line="240" w:lineRule="atLeast"/>
      </w:pPr>
      <w:r>
        <w:rPr/>
        <w:t xml:space="preserve">Bohn, C. (2015). Les conséquences réelles de l´auto-illusionnement. In Jacques Dubois, Pascal Durand &amp; Yves Winkin (Hrsg.), </w:t>
      </w:r>
      <w:r>
        <w:rPr>
          <w:i w:val="1"/>
          <w:iCs w:val="1"/>
        </w:rPr>
        <w:t xml:space="preserve">Le Symbolique et le Social: La Réception internationale de la pensée de Pierre Bourdieu</w:t>
      </w:r>
      <w:r>
        <w:rPr/>
        <w:t xml:space="preserve"> (S. 67–83). Liège: Presses Universitaires de Liège.</w:t>
      </w:r>
    </w:p>
    <w:p>
      <w:pPr>
        <w:spacing w:after="240" w:line="240" w:lineRule="atLeast"/>
      </w:pPr>
      <w:r>
        <w:rPr/>
        <w:t xml:space="preserve">Bohn, C., &amp; Petzke, M. (2013). Selbstreferenz und Rationalität. In Detlef Horster (Hrsg.), </w:t>
      </w:r>
      <w:r>
        <w:rPr>
          <w:i w:val="1"/>
          <w:iCs w:val="1"/>
        </w:rPr>
        <w:t xml:space="preserve">Niklas Luhmann "Soziale Systeme"</w:t>
      </w:r>
      <w:r>
        <w:rPr/>
        <w:t xml:space="preserve"> (Bd. 45, S. 135–147). Berlin: Akademie Verlag. Abgerufen von http://www.degruyter.com/view/product/232400</w:t>
      </w:r>
    </w:p>
    <w:p>
      <w:pPr>
        <w:spacing w:after="240" w:line="240" w:lineRule="atLeast"/>
      </w:pPr>
      <w:r>
        <w:rPr/>
        <w:t xml:space="preserve">Bohn, C. (2013). Ungleichheit, Devianz und Differenzierung: Paradigmen der Inklusions- und Exklusionsforschung. In Oliver Marchart (Hrsg.), </w:t>
      </w:r>
      <w:r>
        <w:rPr>
          <w:i w:val="1"/>
          <w:iCs w:val="1"/>
        </w:rPr>
        <w:t xml:space="preserve">Facetten der Prekarisierungsgesellschaft: Prekäre Verhältnisse, Sozialwissenschaftliche Perspektiven auf die Prekarisierung von Arbeit und Leben</w:t>
      </w:r>
      <w:r>
        <w:rPr/>
        <w:t xml:space="preserve"> (S. 71–90). Bielefeld: Transcript.</w:t>
      </w:r>
    </w:p>
    <w:p>
      <w:pPr>
        <w:spacing w:after="240" w:line="240" w:lineRule="atLeast"/>
      </w:pPr>
      <w:r>
        <w:rPr/>
        <w:t xml:space="preserve">Bohn, C. (2012). Volatilität des Geldes, der Bilder und der Gefühle: Michelangelo Antonionis Eclisse. In Egenhofer, Hinterwaldner &amp; Spiess (Hrsg.), </w:t>
      </w:r>
      <w:r>
        <w:rPr>
          <w:i w:val="1"/>
          <w:iCs w:val="1"/>
        </w:rPr>
        <w:t xml:space="preserve">Was ist ein Bild: Gottried Boehm zum 70. Geburtstag</w:t>
      </w:r>
      <w:r>
        <w:rPr/>
        <w:t xml:space="preserve"> (S. 321–325). München: Fink.</w:t>
      </w:r>
    </w:p>
    <w:p>
      <w:pPr>
        <w:spacing w:after="240" w:line="240" w:lineRule="atLeast"/>
      </w:pPr>
      <w:r>
        <w:rPr/>
        <w:t xml:space="preserve">Bohn, C. (2009). Inclusion and exclusion: Theories and findings: From exclusion from the community to including exclusion. In Andreas Gestrich, Lutz Raphael &amp; Herbert Uerlings (Hrsg.), </w:t>
      </w:r>
      <w:r>
        <w:rPr>
          <w:i w:val="1"/>
          <w:iCs w:val="1"/>
        </w:rPr>
        <w:t xml:space="preserve">Inklusion/Exklusion. Strangers and Poor People: Changing Patterns of Inclusion and Exclusion in Europe and the Mediterranean World from Classical Antiquity to the Present Day</w:t>
      </w:r>
      <w:r>
        <w:rPr/>
        <w:t xml:space="preserve"> (S. 35–53). Frankfurt a. M.: Peter Lang. Abgerufen von https://www.unilu.ch/fileadmin/shared/Publikationen/bohn_2008_inclusion-and-exclusion.pdf</w:t>
      </w:r>
    </w:p>
    <w:p>
      <w:pPr>
        <w:spacing w:after="240" w:line="240" w:lineRule="atLeast"/>
      </w:pPr>
      <w:r>
        <w:rPr/>
        <w:t xml:space="preserve">Bohn, C. (2009). Inkludierende und exkludierende Mechanismen in der Wirtschaft. In Rudolf Stichweh &amp; Paul Windolf (Hrsg.), </w:t>
      </w:r>
      <w:r>
        <w:rPr>
          <w:i w:val="1"/>
          <w:iCs w:val="1"/>
        </w:rPr>
        <w:t xml:space="preserve">Analysen zur Sozialstruktur und sozialer Ungleichheit</w:t>
      </w:r>
      <w:r>
        <w:rPr/>
        <w:t xml:space="preserve"> (S. 241–259). Wiesbaden: VS Verlag.</w:t>
      </w:r>
    </w:p>
    <w:p>
      <w:pPr>
        <w:spacing w:after="240" w:line="240" w:lineRule="atLeast"/>
      </w:pPr>
      <w:r>
        <w:rPr/>
        <w:t xml:space="preserve">Bohn, C., &amp; Hahn, A. (2007). Michel Foucault: Überwachen und Strafen. In Dirk Kaesler &amp; Ludgera Vogt (Hrsg.), </w:t>
      </w:r>
      <w:r>
        <w:rPr>
          <w:i w:val="1"/>
          <w:iCs w:val="1"/>
        </w:rPr>
        <w:t xml:space="preserve">Hauptwerke der Soziologie</w:t>
      </w:r>
      <w:r>
        <w:rPr/>
        <w:t xml:space="preserve"> (2. Auflage, S. 123–127). Stuttgart: Kröner.</w:t>
      </w:r>
    </w:p>
    <w:p>
      <w:pPr>
        <w:spacing w:after="240" w:line="240" w:lineRule="atLeast"/>
      </w:pPr>
      <w:r>
        <w:rPr/>
        <w:t xml:space="preserve">Bohn, C., &amp; Hahn, A. (2007). Pierre Bourdieu 1930-2002. In Dirk Kaesler (Hrsg.), </w:t>
      </w:r>
      <w:r>
        <w:rPr>
          <w:i w:val="1"/>
          <w:iCs w:val="1"/>
        </w:rPr>
        <w:t xml:space="preserve">Klassiker der Soziologie: Band 2: Von Talcott Parsons bis Pierre Bourdieu</w:t>
      </w:r>
      <w:r>
        <w:rPr/>
        <w:t xml:space="preserve"> (5. überarbeitete Auflage, S. 289–311). München: Verlag C.H. Beck.</w:t>
      </w:r>
    </w:p>
    <w:p>
      <w:pPr>
        <w:spacing w:after="240" w:line="240" w:lineRule="atLeast"/>
      </w:pPr>
      <w:r>
        <w:rPr/>
        <w:t xml:space="preserve">Bohn, C. (2006). Passregime: Vom Geleitbrief zur Identifikation der Person. In Bohn, Cornelia (Hrsg.), </w:t>
      </w:r>
      <w:r>
        <w:rPr>
          <w:i w:val="1"/>
          <w:iCs w:val="1"/>
        </w:rPr>
        <w:t xml:space="preserve">Inklusion, Exklusion und die Person</w:t>
      </w:r>
      <w:r>
        <w:rPr/>
        <w:t xml:space="preserve"> (S. 71–94). Konstanz: UVK. https://doi.org/10.5281/zenodo.5702932</w:t>
      </w:r>
    </w:p>
    <w:p>
      <w:pPr>
        <w:spacing w:after="240" w:line="240" w:lineRule="atLeast"/>
      </w:pPr>
      <w:r>
        <w:rPr/>
        <w:t xml:space="preserve">Bohn, C. (2006). Une société mondiale: Les concepts sociaux de Bourdieu et Luhmann. In Hans-Peter Müller &amp; Yves Sintomer (Hrsg.), </w:t>
      </w:r>
      <w:r>
        <w:rPr>
          <w:i w:val="1"/>
          <w:iCs w:val="1"/>
        </w:rPr>
        <w:t xml:space="preserve">Pierre Bourdieu, théorie et pratique: Perspectives franço-allemandes</w:t>
      </w:r>
      <w:r>
        <w:rPr/>
        <w:t xml:space="preserve"> (S. 101–127). Paris: La Découvert. Abgerufen von https://www.unilu.ch/fileadmin/shared/Publikationen/bohn_2006_une-societe-mondiale.pdf</w:t>
      </w:r>
    </w:p>
    <w:p>
      <w:pPr>
        <w:spacing w:after="240" w:line="240" w:lineRule="atLeast"/>
      </w:pPr>
      <w:r>
        <w:rPr/>
        <w:t xml:space="preserve">Bohn, C. (2005). Die Medien der Gesellschaft. In Michael Jäckel (Hrsg.), </w:t>
      </w:r>
      <w:r>
        <w:rPr>
          <w:i w:val="1"/>
          <w:iCs w:val="1"/>
        </w:rPr>
        <w:t xml:space="preserve">Mediensoziologie</w:t>
      </w:r>
      <w:r>
        <w:rPr/>
        <w:t xml:space="preserve"> (S. 365–377). Wiesbaden: VS-Verlag. Abgerufen von https://www.unilu.ch/fileadmin/fakultaeten/ksf/institute/sozsem/dok/Mitarbeitende/Bohn/Bohn_2005_Die_Medien_der_Gesellschaft_PDFA_neu.pdf</w:t>
      </w:r>
    </w:p>
    <w:p>
      <w:pPr>
        <w:spacing w:after="240" w:line="240" w:lineRule="atLeast"/>
      </w:pPr>
      <w:r>
        <w:rPr/>
        <w:t xml:space="preserve">Bohn, C. (2005). Eine Welt-Gesellschaft: Operative Gesellschaftskonzepte in den Sozialtheorien Luhmanns und Bourdieus. In Catherine Colliot-Thélène, Etienne François &amp; Günther Gebauer (Hrsg.), </w:t>
      </w:r>
      <w:r>
        <w:rPr>
          <w:i w:val="1"/>
          <w:iCs w:val="1"/>
        </w:rPr>
        <w:t xml:space="preserve">Pierre Bourdieu: Deutsch-französische Perspektiven</w:t>
      </w:r>
      <w:r>
        <w:rPr/>
        <w:t xml:space="preserve"> (S. 43–78). Frankfurt a. M.: Suhrkamp. Abgerufen von https://www.unilu.ch/fileadmin/shared/Publikationen/bohn_2005_eine-welt-gesellschaft_.pdf</w:t>
      </w:r>
    </w:p>
    <w:p>
      <w:pPr>
        <w:spacing w:after="240" w:line="240" w:lineRule="atLeast"/>
      </w:pPr>
      <w:r>
        <w:rPr/>
        <w:t xml:space="preserve">Bohn, C. (2005). Les conséquences réelles de l´auto-illusionnement. In Jacques Dubois, Pascal Durand &amp; Yves Winkin (Hrsg.), </w:t>
      </w:r>
      <w:r>
        <w:rPr>
          <w:i w:val="1"/>
          <w:iCs w:val="1"/>
        </w:rPr>
        <w:t xml:space="preserve">Le Symbolique et le Social: La Réception internationale de la pensée de Pierre Bourdieu, Actes Cerisy</w:t>
      </w:r>
      <w:r>
        <w:rPr/>
        <w:t xml:space="preserve"> (S. 65–79). Liège: Les Éditions de l’Université de Liège. Abgerufen von https://www.unilu.ch/fileadmin/shared/Publikationen/bohn_2005_les-consequences-reelles-de-lauto-illusionnement.pdf</w:t>
      </w:r>
    </w:p>
    <w:p>
      <w:pPr>
        <w:spacing w:after="240" w:line="240" w:lineRule="atLeast"/>
      </w:pPr>
      <w:r>
        <w:rPr/>
        <w:t xml:space="preserve">Bohn, C. (2004). Pasregimer. Fra lejdebrev til personidentifikation. In Jesper Gulddal, Mette Mortensen (Hrsg.), </w:t>
      </w:r>
      <w:r>
        <w:rPr>
          <w:i w:val="1"/>
          <w:iCs w:val="1"/>
        </w:rPr>
        <w:t xml:space="preserve">Pas. Identitet, kultur og grænser</w:t>
      </w:r>
      <w:r>
        <w:rPr/>
        <w:t xml:space="preserve"> (S. 97–111). Kopenhagen: Informations forlag.</w:t>
      </w:r>
    </w:p>
    <w:p>
      <w:pPr>
        <w:spacing w:after="240" w:line="240" w:lineRule="atLeast"/>
      </w:pPr>
      <w:r>
        <w:rPr/>
        <w:t xml:space="preserve">Bohn, C. (2003). Individuen und Personen. In Jörg Huber (Hrsg.), </w:t>
      </w:r>
      <w:r>
        <w:rPr>
          <w:i w:val="1"/>
          <w:iCs w:val="1"/>
        </w:rPr>
        <w:t xml:space="preserve">Person/Schauplatz</w:t>
      </w:r>
      <w:r>
        <w:rPr/>
        <w:t xml:space="preserve"> (Bd. 12, S. 161–183). Zürich/New York: Edition Voldemeer.</w:t>
      </w:r>
    </w:p>
    <w:p>
      <w:pPr>
        <w:spacing w:after="240" w:line="240" w:lineRule="atLeast"/>
      </w:pPr>
      <w:r>
        <w:rPr/>
        <w:t xml:space="preserve">Bohn, C. (2003). Normalität und Abweichung systemtheoretisch beobachtet. In Jürgen Link, Thomas Loer &amp; Hartmut Neuendorff (Hrsg.), </w:t>
      </w:r>
      <w:r>
        <w:rPr>
          <w:i w:val="1"/>
          <w:iCs w:val="1"/>
        </w:rPr>
        <w:t xml:space="preserve">„Normalität“ im Diskursnetz soziologischer Begriffe</w:t>
      </w:r>
      <w:r>
        <w:rPr/>
        <w:t xml:space="preserve"> (S. 39–51). Heidelberg: Synchron.</w:t>
      </w:r>
    </w:p>
    <w:p>
      <w:pPr>
        <w:spacing w:after="240" w:line="240" w:lineRule="atLeast"/>
      </w:pPr>
      <w:r>
        <w:rPr/>
        <w:t xml:space="preserve">Bohn, C., &amp; Hahn, A. (2002). Partizipative Identität, Selbstexklusion und Mönchtum. In Gert Melville &amp; Markus Schürer (Hrsg.), </w:t>
      </w:r>
      <w:r>
        <w:rPr>
          <w:i w:val="1"/>
          <w:iCs w:val="1"/>
        </w:rPr>
        <w:t xml:space="preserve">Das Eigene und das Ganze: Zum Individuellen im mittelalterlichen Religiosentum</w:t>
      </w:r>
      <w:r>
        <w:rPr/>
        <w:t xml:space="preserve"> (S. 3–27). Münster: Lit-Verlag.</w:t>
      </w:r>
    </w:p>
    <w:p>
      <w:pPr>
        <w:spacing w:after="240" w:line="240" w:lineRule="atLeast"/>
      </w:pPr>
      <w:r>
        <w:rPr/>
        <w:t xml:space="preserve">Bohn, C. (2001). Inklusionsindividualität und Exklusionsindividualität. In Cornelia Bohn (Hrsg.), </w:t>
      </w:r>
      <w:r>
        <w:rPr>
          <w:i w:val="1"/>
          <w:iCs w:val="1"/>
        </w:rPr>
        <w:t xml:space="preserve">Sinngeneratoren: Fremd- und Selbstthematisierung in soziologisch-historischer Perspektive</w:t>
      </w:r>
      <w:r>
        <w:rPr/>
        <w:t xml:space="preserve"> (S. 159–177). Konstanz: Universitätsverlag Konstanz.</w:t>
      </w:r>
    </w:p>
    <w:p>
      <w:pPr>
        <w:spacing w:after="240" w:line="240" w:lineRule="atLeast"/>
      </w:pPr>
      <w:r>
        <w:rPr/>
        <w:t xml:space="preserve">Bohn, C. (2001). Le vêtement comme médium. In Frédéric Monneyron (Hrsg.), </w:t>
      </w:r>
      <w:r>
        <w:rPr>
          <w:i w:val="1"/>
          <w:iCs w:val="1"/>
        </w:rPr>
        <w:t xml:space="preserve">Le Vêtement: Colloque de Cerisy</w:t>
      </w:r>
      <w:r>
        <w:rPr/>
        <w:t xml:space="preserve"> (S. 189–205). Paris: Harmattan.</w:t>
      </w:r>
    </w:p>
    <w:p>
      <w:pPr>
        <w:spacing w:after="240" w:line="240" w:lineRule="atLeast"/>
      </w:pPr>
      <w:r>
        <w:rPr/>
        <w:t xml:space="preserve">Bohn, C. (2001). Sprache – Schrift – Bild. In Bettina Heintz &amp; Jörg Huber (Hrsg.), </w:t>
      </w:r>
      <w:r>
        <w:rPr>
          <w:i w:val="1"/>
          <w:iCs w:val="1"/>
        </w:rPr>
        <w:t xml:space="preserve">Mit dem Auge denken</w:t>
      </w:r>
      <w:r>
        <w:rPr/>
        <w:t xml:space="preserve"> (S. 321–345). Zürich: Ed. Voldemeer.</w:t>
      </w:r>
    </w:p>
    <w:p>
      <w:pPr>
        <w:spacing w:after="240" w:line="240" w:lineRule="atLeast"/>
      </w:pPr>
      <w:r>
        <w:rPr/>
        <w:t xml:space="preserve">Bohn, C., &amp; Hahn, A. (2000). Das ”erlesene” Selbst und die Anderen. In Vittoria Borsò (Hrsg.), </w:t>
      </w:r>
      <w:r>
        <w:rPr>
          <w:i w:val="1"/>
          <w:iCs w:val="1"/>
        </w:rPr>
        <w:t xml:space="preserve">Die Moderne(n) der Jahrhundertwenden, Düsseldorfer Kommunikations und Medienwissenschaftliche Studien</w:t>
      </w:r>
      <w:r>
        <w:rPr/>
        <w:t xml:space="preserve"> (S. 222–245). Baden-Baden: Nomos.</w:t>
      </w:r>
    </w:p>
    <w:p>
      <w:pPr>
        <w:spacing w:after="240" w:line="240" w:lineRule="atLeast"/>
      </w:pPr>
      <w:r>
        <w:rPr/>
        <w:t xml:space="preserve">Bohn, C., &amp; Hahn, A. (2000). Michel Foucault: Überwachen und Strafen. In Dirk Kaesler &amp; Ludgera Vogt (Hrsg.), </w:t>
      </w:r>
      <w:r>
        <w:rPr>
          <w:i w:val="1"/>
          <w:iCs w:val="1"/>
        </w:rPr>
        <w:t xml:space="preserve">Hauptwerke der Soziologie</w:t>
      </w:r>
      <w:r>
        <w:rPr/>
        <w:t xml:space="preserve"> (S. 123–127). Stuttgart: Kröner.</w:t>
      </w:r>
    </w:p>
    <w:p>
      <w:pPr>
        <w:spacing w:after="240" w:line="240" w:lineRule="atLeast"/>
      </w:pPr>
      <w:r>
        <w:rPr/>
        <w:t xml:space="preserve">Bohn, C. (1999). Diskussionsbericht. In Gerhart von Graevenitz (Hrsg.), </w:t>
      </w:r>
      <w:r>
        <w:rPr>
          <w:i w:val="1"/>
          <w:iCs w:val="1"/>
        </w:rPr>
        <w:t xml:space="preserve">Konzepte der Moderne</w:t>
      </w:r>
      <w:r>
        <w:rPr/>
        <w:t xml:space="preserve"> (S. 675–686). Stuttgart: Verlag J. B. Metzler.</w:t>
      </w:r>
    </w:p>
    <w:p>
      <w:pPr>
        <w:spacing w:after="240" w:line="240" w:lineRule="atLeast"/>
      </w:pPr>
      <w:r>
        <w:rPr/>
        <w:t xml:space="preserve">Bohn, C., &amp; Hahn, A. (1999). Fremdheit und Nation: Inklusion und Exklusion. In Claudia Rademacher, Markus Schroer &amp; Peter Wiechens (Hrsg.), </w:t>
      </w:r>
      <w:r>
        <w:rPr>
          <w:i w:val="1"/>
          <w:iCs w:val="1"/>
        </w:rPr>
        <w:t xml:space="preserve">Spiel ohne Grenzen? Ambivalenzen der Globalisierung</w:t>
      </w:r>
      <w:r>
        <w:rPr/>
        <w:t xml:space="preserve"> (S. 239–255). Opladen: Westdeutscher Verlag.</w:t>
      </w:r>
    </w:p>
    <w:p>
      <w:pPr>
        <w:spacing w:after="240" w:line="240" w:lineRule="atLeast"/>
      </w:pPr>
      <w:r>
        <w:rPr/>
        <w:t xml:space="preserve">Bohn, C. (1999). Schriftlichkeit als Generator für Modernität. In Gerhart von Graevenitz (Hrsg.), </w:t>
      </w:r>
      <w:r>
        <w:rPr>
          <w:i w:val="1"/>
          <w:iCs w:val="1"/>
        </w:rPr>
        <w:t xml:space="preserve">Konzepte der Moderne</w:t>
      </w:r>
      <w:r>
        <w:rPr/>
        <w:t xml:space="preserve"> (S. 27–51). Stuttgart: Verlag J. B. Metzler.</w:t>
      </w:r>
    </w:p>
    <w:p>
      <w:pPr>
        <w:spacing w:after="240" w:line="240" w:lineRule="atLeast"/>
      </w:pPr>
      <w:r>
        <w:rPr/>
        <w:t xml:space="preserve">Bohn, C., &amp; Hahn, A. (1999). Selbstbeschreibung und Selbstthematisierung: Facetten der Identität in der modernen Gesellschaft. In Alois Hahn &amp; Herbert Willems (Hrsg.), </w:t>
      </w:r>
      <w:r>
        <w:rPr>
          <w:i w:val="1"/>
          <w:iCs w:val="1"/>
        </w:rPr>
        <w:t xml:space="preserve">Identität und Moderne</w:t>
      </w:r>
      <w:r>
        <w:rPr/>
        <w:t xml:space="preserve"> (S. 33–62). Frankfurt/Main: Suhrkamp.</w:t>
      </w:r>
    </w:p>
    <w:p>
      <w:pPr>
        <w:spacing w:after="240" w:line="240" w:lineRule="atLeast"/>
      </w:pPr>
      <w:r>
        <w:rPr/>
        <w:t xml:space="preserve">Bohn, C. (1998). Diskussionsbericht: Kanon im gesellschaftlichen Prozeß. In Renate von Heydebrand (Hrsg.), </w:t>
      </w:r>
      <w:r>
        <w:rPr>
          <w:i w:val="1"/>
          <w:iCs w:val="1"/>
        </w:rPr>
        <w:t xml:space="preserve">Kanon Macht Kultur: Theoretische, historische und soziale Aspekte ästhetischer Kanonbildungen</w:t>
      </w:r>
      <w:r>
        <w:rPr/>
        <w:t xml:space="preserve"> (S. 600–611). Stuttgart: Verlag J. B. Metzler.</w:t>
      </w:r>
    </w:p>
    <w:p>
      <w:pPr>
        <w:spacing w:after="240" w:line="240" w:lineRule="atLeast"/>
      </w:pPr>
      <w:r>
        <w:rPr/>
        <w:t xml:space="preserve">Bohn, C. (1997). Ins Feuer damit: Soziologie des Briefgeheimnisses. In Aleida Assmann &amp; Jan Assmann (Hrsg.), </w:t>
      </w:r>
      <w:r>
        <w:rPr>
          <w:i w:val="1"/>
          <w:iCs w:val="1"/>
        </w:rPr>
        <w:t xml:space="preserve">Schleier und Schwelle. Geheimnis und Öffentlichkeit. Archäologie der literarischen Kommunikation V,1</w:t>
      </w:r>
      <w:r>
        <w:rPr/>
        <w:t xml:space="preserve"> (S. 41–51). München: Wilhelm Fink Verlag.</w:t>
      </w:r>
    </w:p>
    <w:p>
      <w:pPr>
        <w:spacing w:after="240" w:line="240" w:lineRule="atLeast"/>
      </w:pPr>
      <w:r>
        <w:rPr/>
        <w:t xml:space="preserve">Bohn, C. (1996). Die Beredsamkeit der Schrift und die Verschwiegenheit des Boten. In Jürgen Fohrmann &amp; Harro Müller (Hrsg.), </w:t>
      </w:r>
      <w:r>
        <w:rPr>
          <w:i w:val="1"/>
          <w:iCs w:val="1"/>
        </w:rPr>
        <w:t xml:space="preserve">Systemtheorie der Literatur</w:t>
      </w:r>
      <w:r>
        <w:rPr/>
        <w:t xml:space="preserve"> (S. 310–324). München: Wilhelm Fink Verlag.</w:t>
      </w:r>
    </w:p>
    <w:p>
      <w:pPr>
        <w:spacing w:after="240" w:line="240" w:lineRule="atLeast"/>
      </w:pPr>
      <w:r>
        <w:rPr/>
        <w:t xml:space="preserve">Bohn, C. (1986). Über die Einheit der Formen der Kommunikation: Kommunikation und Handlung bei Habermas und Luhmann. In Rainer Danielzyk &amp; Fritz Rüdiger Volz (Hrsg.), </w:t>
      </w:r>
      <w:r>
        <w:rPr>
          <w:i w:val="1"/>
          <w:iCs w:val="1"/>
        </w:rPr>
        <w:t xml:space="preserve">Vernunft der Moderne? Zu Habermas´ Theorie des kommunikativen Handelns</w:t>
      </w:r>
      <w:r>
        <w:rPr/>
        <w:t xml:space="preserve">. Münster: Edition Liberación.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Bohn, Cornelia, Schubbach, Arno, &amp; Wansleben, Leon (Hrsg.). (2013). </w:t>
      </w:r>
      <w:r>
        <w:rPr>
          <w:i w:val="1"/>
          <w:iCs w:val="1"/>
        </w:rPr>
        <w:t xml:space="preserve">Welterzeugung durch Bilder. Themenheft der Zeitschrift Soziale Systeme, Jg. 18, Heft 1+2</w:t>
      </w:r>
      <w:r>
        <w:rPr/>
        <w:t xml:space="preserve">. Berlin: Walter de Gruyter.</w:t>
      </w:r>
    </w:p>
    <w:p>
      <w:pPr>
        <w:spacing w:after="240" w:line="240" w:lineRule="atLeast"/>
      </w:pPr>
      <w:r>
        <w:rPr/>
        <w:t xml:space="preserve">Bohn, Cornelia, &amp; Hahn, Alois (Hrsg.). (2006). </w:t>
      </w:r>
      <w:r>
        <w:rPr>
          <w:i w:val="1"/>
          <w:iCs w:val="1"/>
        </w:rPr>
        <w:t xml:space="preserve">Prozesse von Inklusion und Exklusion: Identität und Ausgrenzung/Processi di inclusione ed esclusione: identità ed emarginazione. Annali di Sociologia/ Soziologisches Jahrbuch 16.</w:t>
      </w:r>
      <w:r>
        <w:rPr/>
        <w:t xml:space="preserve"> Trient: .</w:t>
      </w:r>
    </w:p>
    <w:p>
      <w:pPr>
        <w:spacing w:after="240" w:line="240" w:lineRule="atLeast"/>
      </w:pPr>
      <w:r>
        <w:rPr/>
        <w:t xml:space="preserve">Bohn, Cornelia, &amp; Willems, Herbert (Hrsg.). (2001). </w:t>
      </w:r>
      <w:r>
        <w:rPr>
          <w:i w:val="1"/>
          <w:iCs w:val="1"/>
        </w:rPr>
        <w:t xml:space="preserve">Sinngeneratoren. Fremd- und Selbstthematisierung in soziologisch historischer Perspektive</w:t>
      </w:r>
      <w:r>
        <w:rPr/>
        <w:t xml:space="preserve">. Konstanz: Universitätsverlag Konstanz.</w:t>
      </w:r>
    </w:p>
    <w:p>
      <w:pPr>
        <w:spacing w:after="240" w:line="240" w:lineRule="atLeast"/>
      </w:pPr>
      <w:r>
        <w:rPr/>
        <w:t xml:space="preserve">Bohn, Cornelia, &amp; Watier, Patrick (Hrsg.). (1998). </w:t>
      </w:r>
      <w:r>
        <w:rPr>
          <w:i w:val="1"/>
          <w:iCs w:val="1"/>
        </w:rPr>
        <w:t xml:space="preserve">La différenciation: Identité, Insertion/Exclusion, Altérité. Sociétés. Revue des Sciences Humaines et Sociales, No. 61</w:t>
      </w:r>
      <w:r>
        <w:rPr/>
        <w:t xml:space="preserve">. .: 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Bohn, C. (2018). Lemma "Habitus". In . (Hrsg.), </w:t>
      </w:r>
      <w:r>
        <w:rPr>
          <w:i w:val="1"/>
          <w:iCs w:val="1"/>
        </w:rPr>
        <w:t xml:space="preserve">Staatslexikon</w:t>
      </w:r>
      <w:r>
        <w:rPr/>
        <w:t xml:space="preserve">. Freiburg: Herder.</w:t>
      </w:r>
    </w:p>
    <w:p>
      <w:pPr>
        <w:spacing w:after="240" w:line="240" w:lineRule="atLeast"/>
      </w:pPr>
      <w:r>
        <w:rPr/>
        <w:t xml:space="preserve">Bohn, C. (2006). Literacy. In . (Hrsg.), </w:t>
      </w:r>
      <w:r>
        <w:rPr>
          <w:i w:val="1"/>
          <w:iCs w:val="1"/>
        </w:rPr>
        <w:t xml:space="preserve">Routledge Encyclopedia of Social Theory</w:t>
      </w:r>
      <w:r>
        <w:rPr/>
        <w:t xml:space="preserve">. London: 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Bohn, C. (1999). Hubert Knoblauch, Kommunikationskultur. Die kommunikative Konstruktion kultureller Texte, Berlin: de Gruyter, 1995. </w:t>
      </w:r>
      <w:r>
        <w:rPr>
          <w:i w:val="1"/>
          <w:iCs w:val="1"/>
        </w:rPr>
        <w:t xml:space="preserve">Kölner Zeitschrift für Soziologie und Sozialpsychologie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, 396–399.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Bohn, C. (2009). </w:t>
      </w:r>
      <w:r>
        <w:rPr>
          <w:i w:val="1"/>
          <w:iCs w:val="1"/>
        </w:rPr>
        <w:t xml:space="preserve">Geld und Eigentum: Inkludierende und exkludierende Mechanismen in der Wirtschaft</w:t>
      </w:r>
      <w:r>
        <w:rPr/>
        <w:t xml:space="preserve"> (Workingpaper des Soziologischen Seminars No. 04/09). Abgerufen von https://www.unilu.ch/fileadmin/fakultaeten/ksf/institute/sozsem/dok/working_papers/WP04-2009-Cornelia-Bohn_Geld-und-Eigentum.pdf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em. Dr. Cornelia Bohn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em. Dr. Cornelia Bohn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