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Clio Zubler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Zubler Clio</w:t>
      </w:r>
      <w:r>
        <w:rPr/>
        <w:t xml:space="preserve">, Das Ausgabenreferendum, Finanzielle und inhaltliche Mitbestimmung in den Kantonen, Zürich/St. Gallen 2026, https://www.dike.ch/wissenschaftliche-schriftenreihen/schriftenreihe-dike/schweizer-schriften-zum-staats-und-verfassungsrecht/zubler-das-ausgabenreferendum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Glaser Andreas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, Die Steuerung der Verwaltung durch das Gesetz, in: ZSR Band 145 II/2026, S. 5–94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Braun Binder Nadja</w:t>
      </w:r>
      <w:r>
        <w:rPr/>
        <w:t xml:space="preserve">/</w:t>
      </w:r>
      <w:r>
        <w:rPr>
          <w:smallCaps w:val="1"/>
          <w:caps w:val="0"/>
        </w:rPr>
        <w:t xml:space="preserve">Wittmer Grace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, Frauen im Recht, in: Bulletin VSH-AEU 2026, S. 6–16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Zubler Clio</w:t>
      </w:r>
      <w:r>
        <w:rPr/>
        <w:t xml:space="preserve">, Realitätscheck Ständemehr, Aus der Zeit gefallene Antiquität oder bedeutendes Instrument des Föderalismus?, APARIUZ XXVI, in: Bayana, Serdar/Borkowski, Barbara/Gutaj, Mërgim/Kiritharan, Gishok (Hrsg.), Recht und Realität, Zürich 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Glaser Andreas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, Die Verfassungen Österreichs und der Schweiz: Wechselseitige Beeinflussung oder stummes Nebeneinander?, in: Balthasar, Alexander/Vincze, Attila (Hrsg.), Hundert Jahre österreichisches Bundes-Verfassungsgesetz, Wien 2021, S. 3–21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Glaser Andreas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, Briefliche und elektronische Wahl – Problemfelder des Wahlverfahrens in der Schweiz, in: Glaser, Andreas/Langer, Lorenz (Hrsg.), Das Parlamentswahlrecht als rechtsstaatliche Grundlage der Demokratie, Zürich/St. Gallen 2020, S. 147–174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Bukovac, Jasmina</w:t>
      </w:r>
      <w:r>
        <w:rPr/>
        <w:t xml:space="preserve">/</w:t>
      </w:r>
      <w:r>
        <w:rPr>
          <w:smallCaps w:val="1"/>
          <w:caps w:val="0"/>
        </w:rPr>
        <w:t xml:space="preserve">Hunkemöller, Pia</w:t>
      </w:r>
      <w:r>
        <w:rPr/>
        <w:t xml:space="preserve">/</w:t>
      </w:r>
      <w:r>
        <w:rPr>
          <w:smallCaps w:val="1"/>
          <w:caps w:val="0"/>
        </w:rPr>
        <w:t xml:space="preserve">Zubler, Clio</w:t>
      </w:r>
      <w:r>
        <w:rPr/>
        <w:t xml:space="preserve"> (Hrsg.), Wie die Zeit vergeht, APARIUZ XXV, Zürich 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Glaser Andreas</w:t>
      </w:r>
      <w:r>
        <w:rPr/>
        <w:t xml:space="preserve">/</w:t>
      </w:r>
      <w:r>
        <w:rPr>
          <w:smallCaps w:val="1"/>
          <w:caps w:val="0"/>
        </w:rPr>
        <w:t xml:space="preserve">Steffen Gabriel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, Verfahren zur Umsetzung der Initiative "Schuldenbremse zur Sicherung eines ausgeglichenen Finanzhaushalts der Stadt Aarau", Studienbericht des ZDA Nr. 23, 2023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/</w:t>
      </w:r>
      <w:r>
        <w:rPr>
          <w:smallCaps w:val="1"/>
          <w:caps w:val="0"/>
        </w:rPr>
        <w:t xml:space="preserve">Imfeld Tabea</w:t>
      </w:r>
      <w:r>
        <w:rPr/>
        <w:t xml:space="preserve">, Neue Entscheide und Urteile zum Schweizer Wettbewerbsrecht im zweiten Quartal 2026, 2026, S. 195–204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Zubler Clio</w:t>
      </w:r>
      <w:r>
        <w:rPr/>
        <w:t xml:space="preserve">, Anmerkungen zum Urteil des Bundesgerichts, I. öffentlich-rechtliche Abteilung, 2. August 2023, 1C_567/2022: Politische Rechte (Thurgau), in: ZBl 2024, S. 666–678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Glaser Andreas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, Anmerkung zum Urteil des Verwaltungsgerichts des Kantons Bern, 100.2018.388/100.2018.390/100.2018.400/100. 2018.435/100.2018.446: Aufhebung der Volksabstimmung in der Gemeinde Moutier über den Kantonswechsel, in: AJP 2019, S. 1355–1359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Clio Zubler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Clio Zubler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