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Clara Bombach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Blatter, J., Bombach, C., &amp; Wiprächtiger, R. (2015). Enhancing gender equity through evidence-based policy-making? Theorizing and tracing the use of systematic knowledge in family and tax policy reforms. </w:t>
      </w:r>
      <w:r>
        <w:rPr>
          <w:i w:val="1"/>
          <w:iCs w:val="1"/>
        </w:rPr>
        <w:t xml:space="preserve">European Policy Analysis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(1), 3–34. https://doi.org/10.18278/epa.1.1.2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Balthasar, A., Blatter, J., Bombach, C., &amp; Wiprächtiger, R. (2012). </w:t>
      </w:r>
      <w:r>
        <w:rPr>
          <w:i w:val="1"/>
          <w:iCs w:val="1"/>
        </w:rPr>
        <w:t xml:space="preserve">NPF 60: Gleichstellung der Geschlechter. Wie gendersensibel ist die Politikgestaltung in den Schweizer Kantonen? Auswertungen Fallstudien Freiburg, Aargau, Uri, Nidwalden</w:t>
      </w:r>
      <w:r>
        <w:rPr/>
        <w:t xml:space="preserve">. Luzern: Interface Politikstudien Forschung Beratung.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Clara Bombach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Clara Bombach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