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Christoph Bauer</w:t>
      </w:r>
    </w:p>
    <w:p>
      <w:pPr>
        <w:spacing w:after="240" w:line="240" w:lineRule="atLeast"/>
      </w:pPr>
      <w:r>
        <w:t xml:space="preserve">ORCID: 0000-0002-5559-6644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Vermögensrechte und unkörperliche Rechtsobjekte, Immaterialgüterrechte, Bucheffekten, Register-Schuldbriefe und Registerwertrechte im Verhältnis zum Sachenrecht, Zürich/St.Gallen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Parteiwechsel im Vertrag: Vertragsübertragung und Vertragsübergang, Unter besonderer Berücksichtigung des allgemeinen Vertragsrechts und des Fusionsgesetzes, Zürich/St.Gallen 2010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Unberechtigter Besitz an Fahrnis im Erbgang, Fragen des gutgläubigen Erwerbs, der Ersitzung und der Verantwortlichkeit im Zusammenspiel von Erb- und Sachenrecht, in: Aktuelle Juristische Praxis 25/6/2016, S. 783–802, https://doi.org/10.5281/zenodo.17467076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Rusch Arnold F.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Drohende Verjährung von Verlustscheinen, in: Aktuelle Juristische Praxis 24/10/2015, S. 1409–1412, https://doi.org/10.5281/zenodo.17467078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Rüegger Vanessa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"Welches Objekt prägt Deinen Alltag?", in: ius inhouse, Juristische Fakultät der Universität Basel 27/2015, S. 10–11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/</w:t>
      </w:r>
      <w:r>
        <w:rPr>
          <w:smallCaps w:val="1"/>
          <w:caps w:val="0"/>
        </w:rPr>
        <w:t xml:space="preserve">Rusch Arnold F.</w:t>
      </w:r>
      <w:r>
        <w:rPr/>
        <w:t xml:space="preserve">, Abgekürzte Gattungsvereinbarungen, in: recht 31/5/2013, S. 209–223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Litigation &amp; Arbitration, in: Kellerhals Carrard (Hrsg.), Sustainable Finance in Switzerland, Adoption of a New Paradigm through Regulatory Change and Innovation, Zürich 2024, S. 177–180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Rechtsweggarantie, Anspruch auf ein faires Verfahren, Rechtliches Gehör, Fristwahrung und Anforderungen an Eingaben und Beilagen, in: Haas, Ulrich/Marghitola, Reto (Hrsg.), Fachhandbuch Zivilprozessrecht, Expertenwissen für die Praxis, Zürich 2020, S. 67–92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Miteigentum "dank" Ehegattin und Bank, Auslegeordnung zu einseitig eigen- sowie fremdfinanziertem Miteigentum der Ehegatten bei Errungenschaftsbeteiligung aus Anlass von BGE 141 III 53, in: Fankhauser, Roland/Widmer Lüchinger, Corinne/Klingler, Rafael/Seiler, Benedikt (Hrsg.), Das Zivilrecht und seine Durchsetzung, Festschrift für Professor Thomas Sutter-Somm, Zürich 2016, S. 777–792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Thomas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513-529 OR, in: Widmer Lüchinger, Corinne/Oser, David (Hrsg.), Basler Kommentar zum Obligationenrecht I, 8. Aufl., Basel 2026, S. 3427–3463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/</w:t>
      </w:r>
      <w:r>
        <w:rPr>
          <w:smallCaps w:val="1"/>
          <w:caps w:val="0"/>
        </w:rPr>
        <w:t xml:space="preserve">Sterchi Martin H.</w:t>
      </w:r>
      <w:r>
        <w:rPr/>
        <w:t xml:space="preserve">, Kommentierung von Art. 66-69 ZPO, Berner Kommentar zum schweizerischen Privatrecht, in: Aebi-Müller, Regina E./Müller, Christoph (Hrsg.), Berner Kommentar zum Zivilprozessordnung, 2. Aufl., Bd. 1, Bern 2026, S. 759–794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Kommentierung von Art. 683-688 OR, in: Wildhaber, Isabelle: Häusermann, Daniel/Honsell, Heinrich (Hrsg.), Kurzkommentar zum Obligationenrecht, 2. Aufl., Basel 2026, S. 2678–2704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/</w:t>
      </w:r>
      <w:r>
        <w:rPr>
          <w:smallCaps w:val="1"/>
          <w:caps w:val="0"/>
        </w:rPr>
        <w:t xml:space="preserve">Sterchi Martin H.</w:t>
      </w:r>
      <w:r>
        <w:rPr/>
        <w:t xml:space="preserve">, Kommentierung von Art. 91-103 ZPO, Berner Kommentar zum schweizerischen Privatrecht, in: Aebi-Müller, Regina E./Müller, Christoph (Hrsg.), Berner Kommentar zum Zivilprozessordnung, 2. Aufl., Bd. 1, Bern 2026, S. 1052–1139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Kut Ahmet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1-40g OR, in: Atamer, Yesim M./Furrer, Andreas (Hrsg.), Handkommentar zum Schweizer Privatrecht, Obligationenrecht Allgemeine Bestimmungen, Art. 1-183 OR, 4. Aufl., Zürich 2024, S. 4–278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Thomas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884-894 ZGB, in: Geiser, Thomas/Wolf, Stefan (Hrsg.), Basler Kommentar Zivilgesetzbuch II, 7. Aufl., Basel 2023, S. 2227–2341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Thomas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899-918 ZGB, in: Geiser, Thomas/Wolf, Stefan (Hrsg.), Basler Kommentar Zivilgesetzbuch II, Basel 2023, S. 2365–2416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Thomas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513-529 OR, in: Widmer Lüchinger, Corinne/Oser, David (Hrsg.), Basler Kommentar zum Obligationenrecht I, 7. Aufl., Basel 2020, S. 3285–3322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Thomas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884-894 ZGB, in: Geiser, Thomas/Wolf, Stefan (Hrsg.), Basler Kommentar Zivilgesetzbuch II, 6. Aufl., Basel 2019, S. 2173–2286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Thomas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899-918 ZGB, in: Geiser, Thomas/Wolf, Stefan (Hrsg.), Basler Kommentar Zivilgesetzbuch II, 6. Aufl., Basel 2019, S. 2313–2359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Kommentierung von Art. 683-688 OR, in: Honsell, Heinrich (Hrsg.), Kurzkommentar zum Obligationenrecht, 1. Aufl., Basel 2014, S. 2145–2166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Maurenbrecher Benedikt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31 und 32 BEG, in: Zobl, Dieter/Hess, Martin/Schott, Ansgar (Hrsg.), Kommentar zum Bucheffektengesetz (BEG) sowie zum HWpÜ und den relevanten Bestimmungen in OR und IPRG, Zürich 2013, S. 442–515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Maizar Karim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4 und 5 BEG, in: Zobl, Dieter/Hess, Martin/Schott, Ansgar (Hrsg.), Kommentar zum Bucheffektengesetz (BEG) sowie zum HWpÜ und den relevanten Bestimmungen in OR und IPRG, Zürich 2013, S. 76–103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Molina Martin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Complex Commercial Litigation in Switzerland, London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Molina Martin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Complex Commercial Litigation in Switzerland, London 2022, S. 123–139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Molina Martin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Complex Commercial Litigation in Switzerland, London 2021, S. 115–123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Christoph Bauer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Christoph Bauer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