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Christine Brambs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Hatsy, S., Brambs, C., &amp; Kiechle, M. (2023). ncidence and predictors for chemotherapy modifications and their impact on the outcome of ovarian cancer patients. </w:t>
      </w:r>
      <w:r>
        <w:rPr>
          <w:i w:val="1"/>
          <w:iCs w:val="1"/>
        </w:rPr>
        <w:t xml:space="preserve">Archives of Gynecology and Obstetrics</w:t>
      </w:r>
      <w:r>
        <w:rPr/>
        <w:t xml:space="preserve">, </w:t>
      </w:r>
      <w:r>
        <w:rPr>
          <w:i w:val="1"/>
          <w:iCs w:val="1"/>
        </w:rPr>
        <w:t xml:space="preserve">307</w:t>
      </w:r>
      <w:r>
        <w:rPr/>
        <w:t xml:space="preserve"> (6), 1891–1899.</w:t>
      </w:r>
    </w:p>
    <w:p>
      <w:pPr>
        <w:spacing w:after="240" w:line="240" w:lineRule="atLeast"/>
      </w:pPr>
      <w:r>
        <w:rPr/>
        <w:t xml:space="preserve">Hiller, R., Höhn, K., Krücken, I., Hagert-Winkler, A., Morard, M., Pilny, A., … Horn, C. (2023). Mesonephric-like adenocarcinoma of the endometrium mimicking advanced tubo-ovarian cancer – a literature review based on a special case. </w:t>
      </w:r>
      <w:r>
        <w:rPr>
          <w:i w:val="1"/>
          <w:iCs w:val="1"/>
        </w:rPr>
        <w:t xml:space="preserve">Cancer Research Journal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(4), 127–135. https://doi.org/https://doi.org/10.11648/j.crj.20231104.12</w:t>
      </w:r>
    </w:p>
    <w:p>
      <w:pPr>
        <w:spacing w:after="240" w:line="240" w:lineRule="atLeast"/>
      </w:pPr>
      <w:r>
        <w:rPr/>
        <w:t xml:space="preserve">Scharl, S., Bucher, H., Weidenbächer, B., Bronger, H., Brambs, C., Kiechle, M., … Schüttrumpf, L. (2023). Intracavitary brachytherapy with additional Heyman capsules in the treatment of cervical cancer. </w:t>
      </w:r>
      <w:r>
        <w:rPr>
          <w:i w:val="1"/>
          <w:iCs w:val="1"/>
        </w:rPr>
        <w:t xml:space="preserve">Archives of Gynecology and Obstetrics</w:t>
      </w:r>
      <w:r>
        <w:rPr/>
        <w:t xml:space="preserve">, </w:t>
      </w:r>
      <w:r>
        <w:rPr>
          <w:i w:val="1"/>
          <w:iCs w:val="1"/>
        </w:rPr>
        <w:t xml:space="preserve">307</w:t>
      </w:r>
      <w:r>
        <w:rPr/>
        <w:t xml:space="preserve"> (2), 557–564.</w:t>
      </w:r>
    </w:p>
    <w:p>
      <w:pPr>
        <w:spacing w:after="240" w:line="240" w:lineRule="atLeast"/>
      </w:pPr>
      <w:r>
        <w:rPr/>
        <w:t xml:space="preserve">Stögbauer, F., Gess, B., Brambs, C., Lautizi, M., Kacprowski, T., Ourailidis, I., … Boxberg, M. (2023). Independent Tissue-Based Biomarkers in Endometrioid Endometrial Cancer: Tumor Budding in Microsatellite Instability and WHO Grading in Copy-Number-Low Patients. </w:t>
      </w:r>
      <w:r>
        <w:rPr>
          <w:i w:val="1"/>
          <w:iCs w:val="1"/>
        </w:rPr>
        <w:t xml:space="preserve">Cancers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(15), 3823.</w:t>
      </w:r>
    </w:p>
    <w:p>
      <w:pPr>
        <w:spacing w:after="240" w:line="240" w:lineRule="atLeast"/>
      </w:pPr>
      <w:r>
        <w:rPr/>
        <w:t xml:space="preserve">Schumpf, F., Braun, C., Peric, A., Schmid, J., Lehnick, D., Brambs, C., &amp; Christmann-Schmid, C. (2023). The influence of the menstrual cycle and hormonal contraceptives on cardiorespiratory fitness in physically active women: A systematic review and meta-analysis. </w:t>
      </w:r>
      <w:r>
        <w:rPr>
          <w:i w:val="1"/>
          <w:iCs w:val="1"/>
        </w:rPr>
        <w:t xml:space="preserve">Heliyon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. https://doi.org/10.1016/j.heliyon.2023.e17049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Christine Brambs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Christine Brambs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