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Carla Hool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/</w:t>
      </w:r>
      <w:r>
        <w:rPr>
          <w:smallCaps w:val="1"/>
          <w:caps w:val="0"/>
        </w:rPr>
        <w:t xml:space="preserve">Schwab Melina Daniela</w:t>
      </w:r>
      <w:r>
        <w:rPr/>
        <w:t xml:space="preserve">, Aktuelle Rechtsprechung des Bundesgerichts zum Erbrecht 2025/2026, in: Jusletter 28.08.2026/2026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Graham-Siegenthaler Barbara</w:t>
      </w:r>
      <w:r>
        <w:rPr/>
        <w:t xml:space="preserve">/</w:t>
      </w:r>
      <w:r>
        <w:rPr>
          <w:smallCaps w:val="1"/>
          <w:caps w:val="0"/>
        </w:rPr>
        <w:t xml:space="preserve">Hool Carla</w:t>
      </w:r>
      <w:r>
        <w:rPr/>
        <w:t xml:space="preserve">, Aktuelle Rechtsprechung des Bundesgerichts zum Sachenrecht 2025/2026, in: Jusletter, 24.08.2026 2026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Carla Hool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Carla Hool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