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Bernhard Lange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Lange, B. (2017). Klassiker der Religionswissenschaft modern konzipiert: Eine Alternative zu einem Referat-basierten Seminaraufbau. In Laack, Isabell, Radermacher, Martin &amp; Weiß, Sabrina (Hrsg.), </w:t>
      </w:r>
      <w:r>
        <w:rPr>
          <w:i w:val="1"/>
          <w:iCs w:val="1"/>
        </w:rPr>
        <w:t xml:space="preserve">Hochschuldidaktik in der Religionswissenschaft: Forschung - Didaktik - Unterricht</w:t>
      </w:r>
      <w:r>
        <w:rPr/>
        <w:t xml:space="preserve"> (Bd. 5, S. 54–70). Fribourg: Gesellschaft für Religionskunde GFRK. https://doi.org/ISSN 2297-6469</w:t>
      </w:r>
    </w:p>
    <w:p>
      <w:pPr>
        <w:spacing w:after="240" w:line="240" w:lineRule="atLeast"/>
      </w:pPr>
      <w:r>
        <w:rPr/>
        <w:t xml:space="preserve">Lange, B. (2013). Die soziale Wirksamkeit von Plot und Gegenplot: Wie ein säkulares Gericht eine jüdische Streitfrage entscheidet. In Johannsen, Dirk &amp; Brahier, Gabriela (Hrsg.), </w:t>
      </w:r>
      <w:r>
        <w:rPr>
          <w:i w:val="1"/>
          <w:iCs w:val="1"/>
        </w:rPr>
        <w:t xml:space="preserve">Konstruktionsgeschichten: narrationsbezogene Ansätze in der Religionsforschung</w:t>
      </w:r>
      <w:r>
        <w:rPr/>
        <w:t xml:space="preserve"> (S. 265–280). Würzburg: Ergon.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Lange, B. (15. Februar 2018). </w:t>
      </w:r>
      <w:r>
        <w:rPr>
          <w:i w:val="1"/>
          <w:iCs w:val="1"/>
        </w:rPr>
        <w:t xml:space="preserve">Religiöse Gemeinden als komplexe adaptive Systeme: Modellbildung in der Religionswissenschaft</w:t>
      </w:r>
      <w:r>
        <w:rPr/>
        <w:t xml:space="preserve"> (Dissertation). Universität Luzern, Schweiz. Abgerufen von https://zenodo.org/record/30884/files/unilu_diss_2014_001_lange_fulltext.pdf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Bernhard Lange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Bernhard Lange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