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Andreas Gutzeit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Wehrli, D., Gilljam, H., Koh, D., Simon, S., Boes, S., Hartmann, M., … Gutzeit, A. (2023). Smoking trends and health equity in Switzerland between 1992 and 2017: dependence of smoking prevalence on educational level and social determinants. </w:t>
      </w:r>
      <w:r>
        <w:rPr>
          <w:i w:val="1"/>
          <w:iCs w:val="1"/>
        </w:rPr>
        <w:t xml:space="preserve">Frontiers in Psychiatry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1–8. https://doi.org/10.5281/zenodo.10365581</w:t>
      </w:r>
    </w:p>
    <w:p>
      <w:pPr>
        <w:spacing w:after="240" w:line="240" w:lineRule="atLeast"/>
      </w:pPr>
      <w:r>
        <w:rPr/>
        <w:t xml:space="preserve">Sartoretti, E., Largiadèr, S., Sartoretti, T., Laures, S., Walter, M. A., Monti, E., … Gutzeit, A. (2023). Understanding the needs of women undergoing breast ultrasound: Are male radiologists still needed? </w:t>
      </w:r>
      <w:r>
        <w:rPr>
          <w:i w:val="1"/>
          <w:iCs w:val="1"/>
        </w:rPr>
        <w:t xml:space="preserve">PLOS ONE</w:t>
      </w:r>
      <w:r>
        <w:rPr/>
        <w:t xml:space="preserve">, </w:t>
      </w:r>
      <w:r>
        <w:rPr>
          <w:i w:val="1"/>
          <w:iCs w:val="1"/>
        </w:rPr>
        <w:t xml:space="preserve">11</w:t>
      </w:r>
      <w:r>
        <w:rPr/>
        <w:t xml:space="preserve">, 1–11. https://doi.org/10.1371/journal.pone.0291007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Andreas Gutzeit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Andreas Gutzeit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