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Alexander Ort</w:t>
      </w:r>
    </w:p>
    <w:p>
      <w:pPr>
        <w:spacing w:after="240" w:line="240" w:lineRule="atLeast"/>
      </w:pPr>
      <w:r>
        <w:t xml:space="preserve">ORCID: 0000-0003-0112-9052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Reifegerste, D., &amp; Ort, A. (2024). </w:t>
      </w:r>
      <w:r>
        <w:rPr>
          <w:i w:val="1"/>
          <w:iCs w:val="1"/>
        </w:rPr>
        <w:t xml:space="preserve">Gesundheitskommunikation: Studienkurs Medien &amp; Kommunikation</w:t>
      </w:r>
      <w:r>
        <w:rPr/>
        <w:t xml:space="preserve"> (2. Aufl.). Baden-Baden: Nomos. https://doi.org/10.5771/9783748941996</w:t>
      </w:r>
    </w:p>
    <w:p>
      <w:pPr>
        <w:spacing w:after="240" w:line="240" w:lineRule="atLeast"/>
      </w:pPr>
      <w:r>
        <w:rPr/>
        <w:t xml:space="preserve">Reifegerste, D., &amp; Ort, A. (2018). </w:t>
      </w:r>
      <w:r>
        <w:rPr>
          <w:i w:val="1"/>
          <w:iCs w:val="1"/>
        </w:rPr>
        <w:t xml:space="preserve">Gesundheitskommunikation: Studienkurs Medien &amp; Kommunikation</w:t>
      </w:r>
      <w:r>
        <w:rPr/>
        <w:t xml:space="preserve">. Baden-Baden: Nomos. https://doi.org/10.5771/9783845281827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Sukalla, F., &amp; Ort, A. (2026). Rethinking Stigma Assessment: A Pre-Registered Multi-Group Study on Alternative Item Wordings. </w:t>
      </w:r>
      <w:r>
        <w:rPr>
          <w:i w:val="1"/>
          <w:iCs w:val="1"/>
        </w:rPr>
        <w:t xml:space="preserve">European Journal of Health Communication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 (Special Issue: ECREA Ljubljana Best Papers)), 1–19. https://doi.org/10.5281/zenodo.20431937</w:t>
      </w:r>
    </w:p>
    <w:p>
      <w:pPr>
        <w:spacing w:after="240" w:line="240" w:lineRule="atLeast"/>
      </w:pPr>
      <w:r>
        <w:rPr/>
        <w:t xml:space="preserve">Fiordelli, M., Diviani, N., Ort, A., &amp; Rubinelli, S. (2026). Effective Communication Within and Across Public Health Institutions: A Qualitative Study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1–9. https://doi.org/10.3389/ijph.2025.1609055</w:t>
      </w:r>
    </w:p>
    <w:p>
      <w:pPr>
        <w:spacing w:after="240" w:line="240" w:lineRule="atLeast"/>
      </w:pPr>
      <w:r>
        <w:rPr/>
        <w:t xml:space="preserve">Ort, A., Stefanelli, S., &amp; Weisstanner, D. (2026). Health Information Seeking by People Navigating Masculinizing Transition Pathways in Switzerland: Communication Inequalities and Adaptive Approaches. </w:t>
      </w:r>
      <w:r>
        <w:rPr>
          <w:i w:val="1"/>
          <w:iCs w:val="1"/>
        </w:rPr>
        <w:t xml:space="preserve">Health Communication</w:t>
      </w:r>
      <w:r>
        <w:rPr/>
        <w:t xml:space="preserve">, 1–16. https://doi.org/10.1080/10410236.2026.2743838</w:t>
      </w:r>
    </w:p>
    <w:p>
      <w:pPr>
        <w:spacing w:after="240" w:line="240" w:lineRule="atLeast"/>
      </w:pPr>
      <w:r>
        <w:rPr/>
        <w:t xml:space="preserve">Ort, A., &amp; Bardy, T. L. C. (2025). The Pre-Exposure Prophylaxis (PrEP) Personal Obstacle Scale (PPOS): measurement Properties in English, German, and French. </w:t>
      </w:r>
      <w:r>
        <w:rPr>
          <w:i w:val="1"/>
          <w:iCs w:val="1"/>
        </w:rPr>
        <w:t xml:space="preserve">Journal of Puclic Health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(2), 364–374. https://doi.org/10.5281/zenodo.17979221</w:t>
      </w:r>
    </w:p>
    <w:p>
      <w:pPr>
        <w:spacing w:after="240" w:line="240" w:lineRule="atLeast"/>
      </w:pPr>
      <w:r>
        <w:rPr/>
        <w:t xml:space="preserve">Daube, D., Reifegerste, D., Ort, A., Sukalla, F., &amp; Wagner, A. (2025). Editorial. </w:t>
      </w:r>
      <w:r>
        <w:rPr>
          <w:i w:val="1"/>
          <w:iCs w:val="1"/>
        </w:rPr>
        <w:t xml:space="preserve">die hochschullehre - Themenheft 2025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274–278. https://doi.org/10.3278/HSL2463W</w:t>
      </w:r>
    </w:p>
    <w:p>
      <w:pPr>
        <w:spacing w:after="240" w:line="240" w:lineRule="atLeast"/>
      </w:pPr>
      <w:r>
        <w:rPr/>
        <w:t xml:space="preserve">Schädler, T., Lampart, P. S., Schiltknecht, D., Ort, A., &amp; Tomaschek, R. (2025). Do I need to know my patient’s sexual orientation and gender identity? Insights from Swiss primary care physicians.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1–11. https://doi.org/10.1186/s12875-025-03126-z</w:t>
      </w:r>
    </w:p>
    <w:p>
      <w:pPr>
        <w:spacing w:after="240" w:line="240" w:lineRule="atLeast"/>
      </w:pPr>
      <w:r>
        <w:rPr/>
        <w:t xml:space="preserve">Diviani, N., Fiordelli, M., Ort, A., &amp; Rubinelli, S. (2025). From preparedness to adaptation: Swiss hospitals’ communication strategies in a prolonged crisis. </w:t>
      </w:r>
      <w:r>
        <w:rPr>
          <w:i w:val="1"/>
          <w:iCs w:val="1"/>
        </w:rPr>
        <w:t xml:space="preserve">Frontiers in Communication</w:t>
      </w:r>
      <w:r>
        <w:rPr/>
        <w:t xml:space="preserve">. https://doi.org/10.3389/fcomm.2025.1672472</w:t>
      </w:r>
    </w:p>
    <w:p>
      <w:pPr>
        <w:spacing w:after="240" w:line="240" w:lineRule="atLeast"/>
      </w:pPr>
      <w:r>
        <w:rPr/>
        <w:t xml:space="preserve">Ort, A., &amp; Bardy, T. L. C. (2024). The Pre-Exposure Prophylaxis Stigma Scale: Measurement properties of an adaptation in German and French.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(69). https://doi.org/10.3389/ijph.2024.1606658</w:t>
      </w:r>
    </w:p>
    <w:p>
      <w:pPr>
        <w:spacing w:after="240" w:line="240" w:lineRule="atLeast"/>
      </w:pPr>
      <w:r>
        <w:rPr/>
        <w:t xml:space="preserve">Ort, A., &amp; Rohrbach, T. (2024). (Dis)harmony in times of crisis? An analysis of COVID-related strategic communication by Swiss public health institutions. </w:t>
      </w:r>
      <w:r>
        <w:rPr>
          <w:i w:val="1"/>
          <w:iCs w:val="1"/>
        </w:rPr>
        <w:t xml:space="preserve">Public Health</w:t>
      </w:r>
      <w:r>
        <w:rPr/>
        <w:t xml:space="preserve">, </w:t>
      </w:r>
      <w:r>
        <w:rPr>
          <w:i w:val="1"/>
          <w:iCs w:val="1"/>
        </w:rPr>
        <w:t xml:space="preserve">228</w:t>
      </w:r>
      <w:r>
        <w:rPr/>
        <w:t xml:space="preserve"> (228), 112–118. https://doi.org/10.5281/zenodo.17979354</w:t>
      </w:r>
    </w:p>
    <w:p>
      <w:pPr>
        <w:spacing w:after="240" w:line="240" w:lineRule="atLeast"/>
      </w:pPr>
      <w:r>
        <w:rPr/>
        <w:t xml:space="preserve">Ort, A., &amp; Sukalla, F. (2023). Risky Research? Exploring the Potentially Detrimental Effects of Employing Stigma Scales. </w:t>
      </w:r>
      <w:r>
        <w:rPr>
          <w:i w:val="1"/>
          <w:iCs w:val="1"/>
        </w:rPr>
        <w:t xml:space="preserve">Frontiers in Communication</w:t>
      </w:r>
      <w:r>
        <w:rPr/>
        <w:t xml:space="preserve">, (8), 1–10. https://doi.org/10.3389/fcomm.2023.1130480</w:t>
      </w:r>
    </w:p>
    <w:p>
      <w:pPr>
        <w:spacing w:after="240" w:line="240" w:lineRule="atLeast"/>
      </w:pPr>
      <w:r>
        <w:rPr/>
        <w:t xml:space="preserve">Rubinelli, S., Häfliger, C. R., Fiordelli, M., Portmann, M., Diviani, N., &amp; Ort, A. (2023). Institutional crisis communication during the COVID-19 pandemic in Switzerland. A qualitative study of the experiences of representatives of public health organizations. </w:t>
      </w:r>
      <w:r>
        <w:rPr>
          <w:i w:val="1"/>
          <w:iCs w:val="1"/>
        </w:rPr>
        <w:t xml:space="preserve">Patient Education and Counseling</w:t>
      </w:r>
      <w:r>
        <w:rPr/>
        <w:t xml:space="preserve">, (114), 1–7. https://doi.org/10.1016/j.pec.2023.107813</w:t>
      </w:r>
    </w:p>
    <w:p>
      <w:pPr>
        <w:spacing w:after="240" w:line="240" w:lineRule="atLeast"/>
      </w:pPr>
      <w:r>
        <w:rPr/>
        <w:t xml:space="preserve">Baselgia, S., Combertaldi, L., Furrer, A., Wirz, D., Ort, A., &amp; Rasch, B. (2023). Pre-sleep arousal induced by suspenseful series and cliffhangers have only minor effects on sleep: A sleep laboratory study. </w:t>
      </w:r>
      <w:r>
        <w:rPr>
          <w:i w:val="1"/>
          <w:iCs w:val="1"/>
        </w:rPr>
        <w:t xml:space="preserve">Sleep Medicine</w:t>
      </w:r>
      <w:r>
        <w:rPr/>
        <w:t xml:space="preserve">, (102), 186–198. https://doi.org/10.1016/j.sleep.2023.01.005</w:t>
      </w:r>
    </w:p>
    <w:p>
      <w:pPr>
        <w:spacing w:after="240" w:line="240" w:lineRule="atLeast"/>
      </w:pPr>
      <w:r>
        <w:rPr/>
        <w:t xml:space="preserve">Ort, A., Rohrbach, T., Diviani, N., &amp; Rubinelli, S. (2023). Covering the crisis: Evolution of key topics and actors in COVID-19 news coverage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1–9. https://doi.org/10.3389/ijph.2022.1605240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Sartoretti, E., Largiadèr, S., Sartoretti, T., Laures, S., Walter, M. A., Monti, E., … Gutzeit, A. (2023). Understanding the needs of women undergoing breast ultrasound: Are male radiologists still needed?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1–11. https://doi.org/10.1371/journal.pone.0291007</w:t>
      </w:r>
    </w:p>
    <w:p>
      <w:pPr>
        <w:spacing w:after="240" w:line="240" w:lineRule="atLeast"/>
      </w:pPr>
      <w:r>
        <w:rPr/>
        <w:t xml:space="preserve">Siegenthaler, P., Furrer, A., &amp; Ort, A. (2022). The effects of different narrative structures in public service announcements on transportation and counterarguing. </w:t>
      </w:r>
      <w:r>
        <w:rPr>
          <w:i w:val="1"/>
          <w:iCs w:val="1"/>
        </w:rPr>
        <w:t xml:space="preserve">Information Design Journal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(3), 1–19. https://doi.org/10.1075/idj.20019.sie</w:t>
      </w:r>
    </w:p>
    <w:p>
      <w:pPr>
        <w:spacing w:after="240" w:line="240" w:lineRule="atLeast"/>
      </w:pPr>
      <w:r>
        <w:rPr/>
        <w:t xml:space="preserve">Camerini, A.-L., Marciano, L., Meier, A., Ort, A., &amp; Petrocchi, S. (2022). Exploring the emotional experience during Instant Messaging among young adults: An experimental study incorporating physiological correlates of arousal. </w:t>
      </w:r>
      <w:r>
        <w:rPr>
          <w:i w:val="1"/>
          <w:iCs w:val="1"/>
        </w:rPr>
        <w:t xml:space="preserve">Frontiers in Psychology</w:t>
      </w:r>
      <w:r>
        <w:rPr/>
        <w:t xml:space="preserve">, 1–12. https://doi.org/10.3389/fpsyg.2022.840845</w:t>
      </w:r>
    </w:p>
    <w:p>
      <w:pPr>
        <w:spacing w:after="240" w:line="240" w:lineRule="atLeast"/>
      </w:pPr>
      <w:r>
        <w:rPr/>
        <w:t xml:space="preserve">Wirz, D., Meier, M. E., Ort, A., Cordeiro, J., Castro, D., &amp; Furrer, A. (2022). The more you watch, the more you get? Re-examining the effects of binge-watching on entertainment experiences. </w:t>
      </w:r>
      <w:r>
        <w:rPr>
          <w:i w:val="1"/>
          <w:iCs w:val="1"/>
        </w:rPr>
        <w:t xml:space="preserve">Journal of Media Psychology</w:t>
      </w:r>
      <w:r>
        <w:rPr/>
        <w:t xml:space="preserve">, 1–10. https://doi.org/10.1027/1864-1105/a000355</w:t>
      </w:r>
    </w:p>
    <w:p>
      <w:pPr>
        <w:spacing w:after="240" w:line="240" w:lineRule="atLeast"/>
      </w:pPr>
      <w:r>
        <w:rPr/>
        <w:t xml:space="preserve">Wirz, D., Ort, A., Rasch, B., &amp; Furrer, A. (2022). The role of cliffhangers in serial entertainment: An experiment on cliffhangers’ effects on enjoyment, arousal, and intention to continue watching. </w:t>
      </w:r>
      <w:r>
        <w:rPr>
          <w:i w:val="1"/>
          <w:iCs w:val="1"/>
        </w:rPr>
        <w:t xml:space="preserve">Psychology of Popular Media</w:t>
      </w:r>
      <w:r>
        <w:rPr/>
        <w:t xml:space="preserve">, 1–11. https://doi.org/10.1037/ppm0000392</w:t>
      </w:r>
    </w:p>
    <w:p>
      <w:pPr>
        <w:spacing w:after="240" w:line="240" w:lineRule="atLeast"/>
      </w:pPr>
      <w:r>
        <w:rPr/>
        <w:t xml:space="preserve">Ort, A., &amp; Furrer, A. (2021). Mental Contrasting with Implementation Intentions as a Technique for Media-Mediated Persuasive Health Communication. </w:t>
      </w:r>
      <w:r>
        <w:rPr>
          <w:i w:val="1"/>
          <w:iCs w:val="1"/>
        </w:rPr>
        <w:t xml:space="preserve">Health Psychology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602–621. https://doi.org/10.1080/17437199.2021.1988866</w:t>
      </w:r>
    </w:p>
    <w:p>
      <w:pPr>
        <w:spacing w:after="240" w:line="240" w:lineRule="atLeast"/>
      </w:pPr>
      <w:r>
        <w:rPr/>
        <w:t xml:space="preserve">Ort, A., Siegenthaler, P., &amp; Furrer, A. (2021). How positively valenced health messages can foster information selection: Evidence from two experiments. </w:t>
      </w:r>
      <w:r>
        <w:rPr>
          <w:i w:val="1"/>
          <w:iCs w:val="1"/>
        </w:rPr>
        <w:t xml:space="preserve">Frontiers in Communication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(16), 1–12. https://doi.org/10.3389/fcomm.2021.534496</w:t>
      </w:r>
    </w:p>
    <w:p>
      <w:pPr>
        <w:spacing w:after="240" w:line="240" w:lineRule="atLeast"/>
      </w:pPr>
      <w:r>
        <w:rPr/>
        <w:t xml:space="preserve">Rubinelli, S., Ort, A., Zanini, C., Fiordelli, M., &amp; Diviani, N. (2021). Strengthening critical health literacy for health information appraisal. An approach from argumentation theory.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(12). https://doi.org/10.3390/ijerph18136764</w:t>
      </w:r>
    </w:p>
    <w:p>
      <w:pPr>
        <w:spacing w:after="240" w:line="240" w:lineRule="atLeast"/>
      </w:pPr>
      <w:r>
        <w:rPr/>
        <w:t xml:space="preserve">Combertaldi, S., Ort, A., Cordi, M., Furrer, A., &amp; Rasch, B. (2021). Pre-sleep social media use does not strongly disturb sleep: a sleep Q10 laboratory study in healthy young participants. </w:t>
      </w:r>
      <w:r>
        <w:rPr>
          <w:i w:val="1"/>
          <w:iCs w:val="1"/>
        </w:rPr>
        <w:t xml:space="preserve">Sleep Medicine</w:t>
      </w:r>
      <w:r>
        <w:rPr/>
        <w:t xml:space="preserve">, 1–11. https://doi.org/10.1016/j.sleep.2021.09.009</w:t>
      </w:r>
    </w:p>
    <w:p>
      <w:pPr>
        <w:spacing w:after="240" w:line="240" w:lineRule="atLeast"/>
      </w:pPr>
      <w:r>
        <w:rPr/>
        <w:t xml:space="preserve">Ort, A., Reinhardt, A., Koch, L., &amp; Rossmann, C. (2021). The emotional effects of gain-loss frames in persuasive messages about sun protection on health promotional outcomes: Evidence from an experimental study. </w:t>
      </w:r>
      <w:r>
        <w:rPr>
          <w:i w:val="1"/>
          <w:iCs w:val="1"/>
        </w:rPr>
        <w:t xml:space="preserve">Health Communication</w:t>
      </w:r>
      <w:r>
        <w:rPr/>
        <w:t xml:space="preserve">, 1–10. https://doi.org/10.1080/10410236.2021.1956072</w:t>
      </w:r>
    </w:p>
    <w:p>
      <w:pPr>
        <w:spacing w:after="240" w:line="240" w:lineRule="atLeast"/>
      </w:pPr>
      <w:r>
        <w:rPr/>
        <w:t xml:space="preserve">Siegenthaler, P., Ort, A., &amp; Furrer, A. (2021). The influence of valence shifts in fear appeals on message processing and behavioral intentions: A moderated mediation model. </w:t>
      </w:r>
      <w:r>
        <w:rPr>
          <w:i w:val="1"/>
          <w:iCs w:val="1"/>
        </w:rPr>
        <w:t xml:space="preserve">PLOS ONE</w:t>
      </w:r>
      <w:r>
        <w:rPr/>
        <w:t xml:space="preserve">, 1–15. https://doi.org/10.1371/journal.pone.0255113</w:t>
      </w:r>
    </w:p>
    <w:p>
      <w:pPr>
        <w:spacing w:after="240" w:line="240" w:lineRule="atLeast"/>
      </w:pPr>
      <w:r>
        <w:rPr/>
        <w:t xml:space="preserve">Ort, A., &amp; Furrer, A. (2020). The effectiveness of a positively vs. negatively valenced PSA against sexually transmitted diseases – evidence from an experimental study. </w:t>
      </w:r>
      <w:r>
        <w:rPr>
          <w:i w:val="1"/>
          <w:iCs w:val="1"/>
        </w:rPr>
        <w:t xml:space="preserve">SCM Studies in Communication and Media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341–366. https://doi.org/10.5771/2192-4007-2020-3-341</w:t>
      </w:r>
    </w:p>
    <w:p>
      <w:pPr>
        <w:spacing w:after="240" w:line="240" w:lineRule="atLeast"/>
      </w:pPr>
      <w:r>
        <w:rPr/>
        <w:t xml:space="preserve">Ort, A., Wirz, S., &amp; Fahr, A. (2020). Is binge-watching addictive? Effects of motives for TV series use on the relationship between excessive media consumption and media addiction. </w:t>
      </w:r>
      <w:r>
        <w:rPr>
          <w:i w:val="1"/>
          <w:iCs w:val="1"/>
        </w:rPr>
        <w:t xml:space="preserve">Addictive Behaviors Reports</w:t>
      </w:r>
      <w:r>
        <w:rPr/>
        <w:t xml:space="preserve">. https://doi.org/https://doi.org/10.1016/j.abrep.2020.100325</w:t>
      </w:r>
    </w:p>
    <w:p>
      <w:pPr>
        <w:spacing w:after="240" w:line="240" w:lineRule="atLeast"/>
      </w:pPr>
      <w:r>
        <w:rPr/>
        <w:t xml:space="preserve">Ort, A., &amp; Furrer, A. (2018). Using efficacy cues in persuasive health communication is more effective than employing threats – An experimental study of a vaccination intervention against Ebola: British Journal of Health Psychology. </w:t>
      </w:r>
      <w:r>
        <w:rPr>
          <w:i w:val="1"/>
          <w:iCs w:val="1"/>
        </w:rPr>
        <w:t xml:space="preserve">British Journal of Health Psychology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(3), 665–684. https://doi.org/10.1111/bjhp.12310</w:t>
      </w:r>
    </w:p>
    <w:p>
      <w:pPr>
        <w:spacing w:after="240" w:line="240" w:lineRule="atLeast"/>
      </w:pPr>
      <w:r>
        <w:rPr/>
        <w:t xml:space="preserve">Meitz, T., Ort, A., Kalch, A., Zipfel, S., &amp; Zurstiege, G. (2016). Source does matter: Contextual effects on online media-embedded health campaigns against childhood obesity. </w:t>
      </w:r>
      <w:r>
        <w:rPr>
          <w:i w:val="1"/>
          <w:iCs w:val="1"/>
        </w:rPr>
        <w:t xml:space="preserve">Computers in Human Behavior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, 565–574. https://doi.org/10.1016/j.chb.2016.02.067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Daube, D., Ort, A., Sukalla, F., Wagner, A., &amp; Reifegerste, D. (2023). Der Blick über den Tellerrand - Chancen, Herausforderungen und Zielgrößen guter Lehre in der Gesundheitskommunikation. In Reifegerste, Doreen, Kolip, Petra &amp; Wagner, Anna (Hrsg.), </w:t>
      </w:r>
      <w:r>
        <w:rPr>
          <w:i w:val="1"/>
          <w:iCs w:val="1"/>
        </w:rPr>
        <w:t xml:space="preserve">Wer macht wen für Gesundheit (und Krankheit) verantwortlich? Beiträge zur Jahrestagung der Fachgruppe Gesundheitskommunikation 2022</w:t>
      </w:r>
      <w:r>
        <w:rPr/>
        <w:t xml:space="preserve"> (S. 1–10). Bielefeld: SSOAR, Social Science Open Access Repository. https://doi.org/10.21241/ssoar.88477</w:t>
      </w:r>
    </w:p>
    <w:p>
      <w:pPr>
        <w:spacing w:after="240" w:line="240" w:lineRule="atLeast"/>
      </w:pPr>
      <w:r>
        <w:rPr/>
        <w:t xml:space="preserve">Wettstein, M., Furrer, A., &amp; Ort, A. (2019). Beyond Eyeballing: Automatische Mustererkennung in Prozessdaten. In Müller, P, Geiss, S, Schemer, C, Naab, T K &amp; Peter, C (Hrsg.), </w:t>
      </w:r>
      <w:r>
        <w:rPr>
          <w:i w:val="1"/>
          <w:iCs w:val="1"/>
        </w:rPr>
        <w:t xml:space="preserve">Dynamische Prozesse der öffentlichen Kommunikation: Methodische Herausforderungen</w:t>
      </w:r>
      <w:r>
        <w:rPr/>
        <w:t xml:space="preserve"> (Bd. 15, S. 239–261). Köln: Herbert von Halem.</w:t>
      </w:r>
    </w:p>
    <w:p>
      <w:pPr>
        <w:spacing w:after="240" w:line="240" w:lineRule="atLeast"/>
      </w:pPr>
      <w:r>
        <w:rPr/>
        <w:t xml:space="preserve">Furrer, A., &amp; Ort, A. (2019). Die Bedeutung sozialer Vergleichsprozesse für die Gesundheitskommunikation. In Rossmann, Constanze &amp; Hastall, Matthias R. (Hrsg.),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(S. 269–280). Wiesbaden: Springer. https://doi.org/10.1007/978-3-658-10948-6_21-1</w:t>
      </w:r>
    </w:p>
    <w:p>
      <w:pPr>
        <w:spacing w:after="240" w:line="240" w:lineRule="atLeast"/>
      </w:pPr>
      <w:r>
        <w:rPr/>
        <w:t xml:space="preserve">Ort, A. (2019). Ekel, Wut sowie Verlegenheit, Scham und Schuld in der Gesundheitskommunikation. In Rossmann, Constanze &amp; Hastall, Matthias (Hrsg.),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(S. 447–458). Wiesbaden: Springer Fachmedien. https://doi.org/10.1007/978-3-658-10948-6_36-1</w:t>
      </w:r>
    </w:p>
    <w:p>
      <w:pPr>
        <w:spacing w:after="240" w:line="240" w:lineRule="atLeast"/>
      </w:pPr>
      <w:r>
        <w:rPr/>
        <w:t xml:space="preserve">Ort, A. (2019). Furchtappelle in der Gesundheitskommunikation. In Rossmann, Constanze &amp; Hastall, Matthias (Hrsg.),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(S. 435–446). Wiesbaden: Springer Fachmedien. https://doi.org/10.1007/978-3-658-10948-6_35-1</w:t>
      </w:r>
    </w:p>
    <w:p>
      <w:pPr>
        <w:spacing w:after="240" w:line="240" w:lineRule="atLeast"/>
      </w:pPr>
      <w:r>
        <w:rPr/>
        <w:t xml:space="preserve">Baumann-Neuhaus, E., Finne, E., &amp; Ort, A. (2019). Methoden der Gesundheitskommunikation. In Rossmann, Constanze &amp; Hastall, Matthias R. (Hrsg.), </w:t>
      </w:r>
      <w:r>
        <w:rPr>
          <w:i w:val="1"/>
          <w:iCs w:val="1"/>
        </w:rPr>
        <w:t xml:space="preserve">Handbuch Gesundheitskommunikation: Kommunikationswissenschaftliche Perspektiven</w:t>
      </w:r>
      <w:r>
        <w:rPr/>
        <w:t xml:space="preserve"> (S. 29–42). Wiesbaden: Springer. https://doi.org/10.1007/978-3-658-10948-6_3-1</w:t>
      </w:r>
    </w:p>
    <w:p>
      <w:pPr>
        <w:spacing w:after="240" w:line="240" w:lineRule="atLeast"/>
      </w:pPr>
      <w:r>
        <w:rPr/>
        <w:t xml:space="preserve">Siegenthaler, P., Ort, A., &amp; Furrer, A. (2018). "Fat, sick, and nearly dead?": Effekte positiver Emotionalisierung auf die Selektion von Gesundheitsinformation. In Wilhelm, Claudia, Podschuweit, Nicole, Hofer, Matthias &amp; Koch, Thomas (Hrsg.), </w:t>
      </w:r>
      <w:r>
        <w:rPr>
          <w:i w:val="1"/>
          <w:iCs w:val="1"/>
        </w:rPr>
        <w:t xml:space="preserve">Medienwahl: Aktuelle Konzepte, Befunde und methodische Zugänge</w:t>
      </w:r>
      <w:r>
        <w:rPr/>
        <w:t xml:space="preserve"> (S. 173–189). Baden-Baden: Nomos. https://doi.org/10.5771/9783845285023-173</w:t>
      </w:r>
    </w:p>
    <w:p>
      <w:pPr>
        <w:spacing w:after="240" w:line="240" w:lineRule="atLeast"/>
      </w:pPr>
      <w:r>
        <w:rPr/>
        <w:t xml:space="preserve">Zurstiege, G., Zipfel, S., Ort, A., Mack, I., Meitz, T., &amp; Schäffeler, N. (2017). Managing obesity prevention using digital media: A double-sided approach: Informational Environments : Effects of Use, Effective Designs. In Buder, Jürgen &amp; Hesse, Friedrich W. (Hrsg.), </w:t>
      </w:r>
      <w:r>
        <w:rPr>
          <w:i w:val="1"/>
          <w:iCs w:val="1"/>
        </w:rPr>
        <w:t xml:space="preserve">Informational Environments: Effects of Use, Effective Designs</w:t>
      </w:r>
      <w:r>
        <w:rPr/>
        <w:t xml:space="preserve"> (S. 97–123). Cham: Springer International Publishing. https://doi.org/10.1007/978-3-319-64274-1_5</w:t>
      </w:r>
    </w:p>
    <w:p>
      <w:pPr>
        <w:spacing w:after="240" w:line="240" w:lineRule="atLeast"/>
      </w:pPr>
      <w:r>
        <w:rPr/>
        <w:t xml:space="preserve">Furrer, A., &amp; Ort, A. (2017). The Voice of the Fans. In Schramm, Holger &amp; Ruth, Nicolas (Hrsg.), </w:t>
      </w:r>
      <w:r>
        <w:rPr>
          <w:i w:val="1"/>
          <w:iCs w:val="1"/>
        </w:rPr>
        <w:t xml:space="preserve">Musikcastingshows: Wesen, Nutzung und Wirkung eines populären Fernsehformats</w:t>
      </w:r>
      <w:r>
        <w:rPr/>
        <w:t xml:space="preserve"> (S. 179–196). Wiesbaden: Springer Fachmedien Wiesbaden. https://doi.org/10.1007/978-3-658-17892-5_8</w:t>
      </w:r>
    </w:p>
    <w:p>
      <w:pPr>
        <w:spacing w:after="240" w:line="240" w:lineRule="atLeast"/>
      </w:pPr>
      <w:r>
        <w:rPr/>
        <w:t xml:space="preserve">Kalch, A., Ort, A., Zurstiege, G., &amp; Meitz, T. (2016). Gefühlt zu dick! Negative Effekte einer stereotypisierenden Anti-Adipositaskampagne auf das gewichtsbezogene Selbstbild von Kindern. In Camerini, Anne-Linda, Ludolph, Ramona &amp; Rothenfluh, Fabia (Hrsg.), </w:t>
      </w:r>
      <w:r>
        <w:rPr>
          <w:i w:val="1"/>
          <w:iCs w:val="1"/>
        </w:rPr>
        <w:t xml:space="preserve">Gesundheitskommunikation im Spannungsfeld zwischen Theorie und Praxis</w:t>
      </w:r>
      <w:r>
        <w:rPr/>
        <w:t xml:space="preserve"> (1. Aufl., S. 105–116). Baden-Baden: Nomos. https://doi.org/10.5771/9783845274256-106</w:t>
      </w:r>
    </w:p>
    <w:p>
      <w:pPr>
        <w:spacing w:after="240" w:line="240" w:lineRule="atLeast"/>
      </w:pPr>
      <w:r>
        <w:rPr/>
        <w:t xml:space="preserve">Zurstiege, G., Meitz, T., &amp; Ort, A. (2016). Nicht standardisierte Methoden der Werbeforschung. In Averbeck-Lietz, M &amp; Meyen, Michael (Hrsg.), </w:t>
      </w:r>
      <w:r>
        <w:rPr>
          <w:i w:val="1"/>
          <w:iCs w:val="1"/>
        </w:rPr>
        <w:t xml:space="preserve">Handbuch nicht standardisierte Methoden in der Kommunikationswissenschaft</w:t>
      </w:r>
      <w:r>
        <w:rPr/>
        <w:t xml:space="preserve"> (S. 429–443). Wiesbaden: Springer Fachmedien. https://doi.org/10.1007/978-3-658-01656-2_31</w:t>
      </w:r>
    </w:p>
    <w:p>
      <w:pPr>
        <w:spacing w:after="240" w:line="240" w:lineRule="atLeast"/>
      </w:pPr>
      <w:r>
        <w:rPr/>
        <w:t xml:space="preserve">Ort, A. (2016). Spiel mit der Angst: Der Einfluss von Bedrohung und Wirksamkeit auf Einstellungen und Handlungsintentionen gegenüber einer Ebola-Schutzimpfung. In Camerini, Anne-Linda, Ludolph, Ramona &amp; Rothefluh, Fabia (Hrsg.), </w:t>
      </w:r>
      <w:r>
        <w:rPr>
          <w:i w:val="1"/>
          <w:iCs w:val="1"/>
        </w:rPr>
        <w:t xml:space="preserve">Gesundheitskommunikation im Spannungsfeld zwischen Theorie und Praxis</w:t>
      </w:r>
      <w:r>
        <w:rPr/>
        <w:t xml:space="preserve"> (1. Aufl., S. 80–91). Baden-Baden: Nomos. https://doi.org/10.5771/9783845274256-81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Ort, Alexander, Mantwill, Sarah, &amp; Romanova, Anna (Hrsg.). (2025). </w:t>
      </w:r>
      <w:r>
        <w:rPr>
          <w:i w:val="1"/>
          <w:iCs w:val="1"/>
        </w:rPr>
        <w:t xml:space="preserve">Insight to Impact: Translating Health Communication Research into Policy and Action</w:t>
      </w:r>
      <w:r>
        <w:rPr/>
        <w:t xml:space="preserve">. 9. Jahrestagung der DGPuK-Fachgruppe Gesundheitskommunikation, Mannheim: Social Science Open Access Repository (SSOAR).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Ort, A. (2025). Mein Filmfavorit (Wissenschafts- &amp; Gesundheitskommunikation). </w:t>
      </w:r>
      <w:r>
        <w:rPr>
          <w:i w:val="1"/>
          <w:iCs w:val="1"/>
        </w:rPr>
        <w:t xml:space="preserve">DUZ - Deutsche Universitätzeitung</w:t>
      </w:r>
      <w:r>
        <w:rPr/>
        <w:t xml:space="preserve">, (3), 49.</w:t>
      </w:r>
    </w:p>
    <w:p>
      <w:pPr>
        <w:spacing w:after="240" w:line="240" w:lineRule="atLeast"/>
      </w:pPr>
      <w:r>
        <w:rPr/>
        <w:t xml:space="preserve">Ort, A. (9. März 2023). Premieren am Departement. </w:t>
      </w:r>
      <w:r>
        <w:rPr>
          <w:i w:val="1"/>
          <w:iCs w:val="1"/>
        </w:rPr>
        <w:t xml:space="preserve">Jahresbericht der Universität Luzern 2021</w:t>
      </w:r>
      <w:r>
        <w:rPr/>
        <w:t xml:space="preserve">, 34–36. Abgerufen von https://www.unilu.ch/magazin/artikel/premieren-am-departement-12233/</w:t>
      </w:r>
    </w:p>
    <w:p>
      <w:pPr>
        <w:spacing w:after="240" w:line="240" w:lineRule="atLeast"/>
      </w:pPr>
      <w:r>
        <w:rPr/>
        <w:t xml:space="preserve">Ort, A. (2022). Negative Emotionen – Medien – Sucht: Wann und warum die Corona-Pandemie ein potenzieller Katalysator für Mediensüchte sein kann. </w:t>
      </w:r>
      <w:r>
        <w:rPr>
          <w:i w:val="1"/>
          <w:iCs w:val="1"/>
        </w:rPr>
        <w:t xml:space="preserve">Grüner Kreis Magazin</w:t>
      </w:r>
      <w:r>
        <w:rPr/>
        <w:t xml:space="preserve">, (122), 12–13. Abgerufen von https://www.gruenerkreis.at/sites/default/files/2022-06/GrKr_Mag122_WEB.pdf</w:t>
      </w:r>
    </w:p>
    <w:p>
      <w:pPr>
        <w:spacing w:after="240" w:line="240" w:lineRule="atLeast"/>
      </w:pPr>
      <w:r>
        <w:rPr/>
        <w:t xml:space="preserve">Ort, A., Wirz, D., &amp; Furrer, A. (2021). Qu’est-ce que le "binge-watching" et s’agit-il d’une addiction? </w:t>
      </w:r>
      <w:r>
        <w:rPr>
          <w:i w:val="1"/>
          <w:iCs w:val="1"/>
        </w:rPr>
        <w:t xml:space="preserve">Dépendances</w:t>
      </w:r>
      <w:r>
        <w:rPr/>
        <w:t xml:space="preserve">, (70), 29–31.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Ort, A. (16. Dezember 2024). Weniger Scham, mehr Stolz: Emotionen in der Gesundheitskommunikation. </w:t>
      </w:r>
      <w:r>
        <w:rPr>
          <w:i w:val="1"/>
          <w:iCs w:val="1"/>
        </w:rPr>
        <w:t xml:space="preserve">wissenschaftskommunikation.de</w:t>
      </w:r>
      <w:r>
        <w:rPr/>
        <w:t xml:space="preserve">. Abgerufen von https://www.wissenschaftskommunikation.de/weniger-scham-mehr-stolz-emotionen-in-der-gesundheitskommunikation-82165/</w:t>
      </w:r>
    </w:p>
    <w:p>
      <w:pPr>
        <w:spacing w:after="240" w:line="240" w:lineRule="atLeast"/>
      </w:pPr>
      <w:r>
        <w:rPr/>
        <w:t xml:space="preserve">Ort, A. (18. Oktober 2024). Französisches Dorf verbietet Handys in der Öffentlichkeit. </w:t>
      </w:r>
      <w:r>
        <w:rPr>
          <w:i w:val="1"/>
          <w:iCs w:val="1"/>
        </w:rPr>
        <w:t xml:space="preserve">Nau.ch</w:t>
      </w:r>
      <w:r>
        <w:rPr/>
        <w:t xml:space="preserve">. Abgerufen von https://www.nau.ch/news/europa/franzosisches-dorf-verbietet-handys-in-der-offentlichkeit-66835167</w:t>
      </w:r>
    </w:p>
    <w:p>
      <w:pPr>
        <w:spacing w:after="240" w:line="240" w:lineRule="atLeast"/>
      </w:pPr>
      <w:r>
        <w:rPr/>
        <w:t xml:space="preserve">Ort, A. (5. Juli 2024). Insta-freier Mai – «Nach einer Woche würde ich aufgeben». </w:t>
      </w:r>
      <w:r>
        <w:rPr>
          <w:i w:val="1"/>
          <w:iCs w:val="1"/>
        </w:rPr>
        <w:t xml:space="preserve">Nau.ch</w:t>
      </w:r>
      <w:r>
        <w:rPr/>
        <w:t xml:space="preserve">. Abgerufen von https://www.nau.ch/news/schweiz/insta-freier-mai-nach-einer-woche-wurde-ich-aufgeben-66753669</w:t>
      </w:r>
    </w:p>
    <w:p>
      <w:pPr>
        <w:spacing w:after="240" w:line="240" w:lineRule="atLeast"/>
      </w:pPr>
      <w:r>
        <w:rPr/>
        <w:t xml:space="preserve">Ort, A. (21. Januar 2024). «Dry January» und Co. im Check - Über den Sinn oder Unsinn von Neujahrsvorsätzen. </w:t>
      </w:r>
      <w:r>
        <w:rPr>
          <w:i w:val="1"/>
          <w:iCs w:val="1"/>
        </w:rPr>
        <w:t xml:space="preserve">SRF Online</w:t>
      </w:r>
      <w:r>
        <w:rPr/>
        <w:t xml:space="preserve">. Abgerufen von https://www.srf.ch/news/schweiz/dry-january-und-co-im-check-ueber-den-sinn-oder-unsinn-von-neujahrsvorsaetzen</w:t>
      </w:r>
    </w:p>
    <w:p>
      <w:pPr>
        <w:spacing w:after="240" w:line="240" w:lineRule="atLeast"/>
      </w:pPr>
      <w:r>
        <w:rPr/>
        <w:t xml:space="preserve">Ort, A. (1. November 2022). Warum wir Binge-Watching nicht verteufeln müssen. </w:t>
      </w:r>
      <w:r>
        <w:rPr>
          <w:i w:val="1"/>
          <w:iCs w:val="1"/>
        </w:rPr>
        <w:t xml:space="preserve">zentralplus - Onlinemagazin für Luzern und Zug</w:t>
      </w:r>
      <w:r>
        <w:rPr/>
        <w:t xml:space="preserve">. Abgerufen von https://www.zentralplus.ch/gesellschaft/warum-wir-binge-watching-nicht-verteufeln-muessen-2477235/</w:t>
      </w:r>
    </w:p>
    <w:p>
      <w:pPr>
        <w:spacing w:after="240" w:line="240" w:lineRule="atLeast"/>
      </w:pPr>
      <w:r>
        <w:rPr/>
        <w:t xml:space="preserve">Ort, A. (3. März 2022). Viel zu spät! Weihnachten feiert man ja auch nicht an Ostern. OB Noppers Impfkampagne ein Piks in die Luft. </w:t>
      </w:r>
      <w:r>
        <w:rPr>
          <w:i w:val="1"/>
          <w:iCs w:val="1"/>
        </w:rPr>
        <w:t xml:space="preserve">Bild Stuttgart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Ort, A. (15. Februar 2022). Die deutsche Impfkampagne: Wie schlecht ist die Werbung für den Piks wirklich? </w:t>
      </w:r>
      <w:r>
        <w:rPr>
          <w:i w:val="1"/>
          <w:iCs w:val="1"/>
        </w:rPr>
        <w:t xml:space="preserve">WEB.DE</w:t>
      </w:r>
      <w:r>
        <w:rPr/>
        <w:t xml:space="preserve">. Abgerufen von https://web.de/magazine/wissen/wissenschaft-technik/deutsche-impfkampagne-schlecht-werbung-piks-36595882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Ort, A. (2025). </w:t>
      </w:r>
      <w:r>
        <w:rPr>
          <w:i w:val="1"/>
          <w:iCs w:val="1"/>
        </w:rPr>
        <w:t xml:space="preserve">Gesundheitskommunikation in der Hochschullehre</w:t>
      </w:r>
      <w:r>
        <w:rPr/>
        <w:t xml:space="preserve">. (Daube, Dominik, Reifegerste, Doreen, Ort, Alexander, Sukalla, Freya, &amp; Wagner, Anna, Hrsg.). https://doi.org/10.3278/HSLT2405W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Alexander Ort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Alexander Ort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