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Alexander H. Trechsel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Trechsel, A. H., &amp; Kriesi, H. (2008). </w:t>
      </w:r>
      <w:r>
        <w:rPr>
          <w:i w:val="1"/>
          <w:iCs w:val="1"/>
        </w:rPr>
        <w:t xml:space="preserve">The Politics of Switzerland: Continuity and Change in a Consensus-Democracy</w:t>
      </w:r>
      <w:r>
        <w:rPr/>
        <w:t xml:space="preserve">. Cambridge: Cambridge University Press.</w:t>
      </w:r>
    </w:p>
    <w:p>
      <w:pPr>
        <w:spacing w:after="240" w:line="240" w:lineRule="atLeast"/>
      </w:pPr>
      <w:r>
        <w:rPr/>
        <w:t xml:space="preserve">Trechsel, A. H. (2000). </w:t>
      </w:r>
      <w:r>
        <w:rPr>
          <w:i w:val="1"/>
          <w:iCs w:val="1"/>
        </w:rPr>
        <w:t xml:space="preserve">Feuerwerk Volksrechte: Die Volksabstimmungen in den schweizerischen Kantonen 1970-1996.</w:t>
      </w:r>
      <w:r>
        <w:rPr/>
        <w:t xml:space="preserve"> Basel, Genf &amp; München: Helbing &amp; Lichtenbahn.</w:t>
      </w:r>
    </w:p>
    <w:p>
      <w:pPr>
        <w:spacing w:after="240" w:line="240" w:lineRule="atLeast"/>
      </w:pPr>
      <w:r>
        <w:rPr/>
        <w:t xml:space="preserve">Trechsel, A. H., &amp; Serdült, U. (1999). </w:t>
      </w:r>
      <w:r>
        <w:rPr>
          <w:i w:val="1"/>
          <w:iCs w:val="1"/>
        </w:rPr>
        <w:t xml:space="preserve">Kaleidoskop Volksrechte: Die Institutionen der direkten Demokratie in den schweizerischen Kantonen 1970-1996</w:t>
      </w:r>
      <w:r>
        <w:rPr/>
        <w:t xml:space="preserve">. Basel, Genf &amp; München: Helbing &amp; Lichtenbahn.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Reiljan, A., Garzia, D., Dias Ferreira da Silva, F., &amp; Trechsel, A. H. (2024). Patterns of Affective Polarization toward Parties and Leaders across the Democratic World. </w:t>
      </w:r>
      <w:r>
        <w:rPr>
          <w:i w:val="1"/>
          <w:iCs w:val="1"/>
        </w:rPr>
        <w:t xml:space="preserve">American Political Science Review</w:t>
      </w:r>
      <w:r>
        <w:rPr/>
        <w:t xml:space="preserve">, </w:t>
      </w:r>
      <w:r>
        <w:rPr>
          <w:i w:val="1"/>
          <w:iCs w:val="1"/>
        </w:rPr>
        <w:t xml:space="preserve">118</w:t>
      </w:r>
      <w:r>
        <w:rPr/>
        <w:t xml:space="preserve"> (2), 654–670. https://doi.org/10.1017/S0003055423000485</w:t>
      </w:r>
    </w:p>
    <w:p>
      <w:pPr>
        <w:spacing w:after="240" w:line="240" w:lineRule="atLeast"/>
      </w:pPr>
      <w:r>
        <w:rPr/>
        <w:t xml:space="preserve">Dias Ferreira da Silva, F., Reiljan, A., Cicchi, L., Trechsel, A. H., &amp; Garzia, D. (2023). Three sides of the same coin? comparing party positions in VAAs, expert surveys and manifesto data. </w:t>
      </w:r>
      <w:r>
        <w:rPr>
          <w:i w:val="1"/>
          <w:iCs w:val="1"/>
        </w:rPr>
        <w:t xml:space="preserve">Journal of European Public Policy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(1), 150–173. https://doi.org/10.1080/13501763.2021.1981982</w:t>
      </w:r>
    </w:p>
    <w:p>
      <w:pPr>
        <w:spacing w:after="240" w:line="240" w:lineRule="atLeast"/>
      </w:pPr>
      <w:r>
        <w:rPr/>
        <w:t xml:space="preserve">Planert, H., Mittermaier, F., Grosser, S., Fidzinski, P., Schneider, U. C., Radbruch, H., … Pengl, Y. I. (2021). Cellular and Synaptic Diversity of Layer 2-3 Pyramidal Neurons in Human Individuals. </w:t>
      </w:r>
      <w:r>
        <w:rPr>
          <w:i w:val="1"/>
          <w:iCs w:val="1"/>
        </w:rPr>
        <w:t xml:space="preserve">eLife</w:t>
      </w:r>
      <w:r>
        <w:rPr/>
        <w:t xml:space="preserve">. https://doi.org/10.1101/2021.11.08.467668</w:t>
      </w:r>
    </w:p>
    <w:p>
      <w:pPr>
        <w:spacing w:after="240" w:line="240" w:lineRule="atLeast"/>
      </w:pPr>
      <w:r>
        <w:rPr/>
        <w:t xml:space="preserve">Cicchi, L., Garzia, D., &amp; Trechsel, A. H. (2020). Mapping parties’ positions on foreign and security issues in the EU, 2009–2014. </w:t>
      </w:r>
      <w:r>
        <w:rPr>
          <w:i w:val="1"/>
          <w:iCs w:val="1"/>
        </w:rPr>
        <w:t xml:space="preserve">Foreign Policy Analysis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(4), 532–546. https://doi.org/10.1093/fpa/oraa014</w:t>
      </w:r>
    </w:p>
    <w:p>
      <w:pPr>
        <w:spacing w:after="240" w:line="240" w:lineRule="atLeast"/>
      </w:pPr>
      <w:r>
        <w:rPr/>
        <w:t xml:space="preserve">Hurst, S., Belser, M., Burton-Jeangros, C., Mahon, P., Hummel, C., Monteverde, S., … Moon, S. (2020). Continued confinement of those most vulnerable to Covid-19. </w:t>
      </w:r>
      <w:r>
        <w:rPr>
          <w:i w:val="1"/>
          <w:iCs w:val="1"/>
        </w:rPr>
        <w:t xml:space="preserve">Kennedy Institute of Ethics Journal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(3), 401–418.</w:t>
      </w:r>
    </w:p>
    <w:p>
      <w:pPr>
        <w:spacing w:after="240" w:line="240" w:lineRule="atLeast"/>
      </w:pPr>
      <w:r>
        <w:rPr/>
        <w:t xml:space="preserve">Bright, J., Garzia, D., Lacey, J., &amp; Trechsel, A. H. (2020). The representative deficit in different European Party Systems: an analysis of the elections to the European Parliament 2009-2014. </w:t>
      </w:r>
      <w:r>
        <w:rPr>
          <w:i w:val="1"/>
          <w:iCs w:val="1"/>
        </w:rPr>
        <w:t xml:space="preserve">Italian Journal of Electoral Studies</w:t>
      </w:r>
      <w:r>
        <w:rPr/>
        <w:t xml:space="preserve">, </w:t>
      </w:r>
      <w:r>
        <w:rPr>
          <w:i w:val="1"/>
          <w:iCs w:val="1"/>
        </w:rPr>
        <w:t xml:space="preserve">83</w:t>
      </w:r>
      <w:r>
        <w:rPr/>
        <w:t xml:space="preserve"> (1), 45–57. https://doi.org/10.36253/qoe-9531</w:t>
      </w:r>
    </w:p>
    <w:p>
      <w:pPr>
        <w:spacing w:after="240" w:line="240" w:lineRule="atLeast"/>
      </w:pPr>
      <w:r>
        <w:rPr/>
        <w:t xml:space="preserve">Reiljan, A., Dias Ferreira da Silva, F., Cicchi, L., Garzia, D., &amp; Trechsel, A. H. (2020). Longitudinal dataset of political issue-positions of 411 parties across 28 European countries (2009–2019) from voting advice applications EU profiler and euandi. </w:t>
      </w:r>
      <w:r>
        <w:rPr>
          <w:i w:val="1"/>
          <w:iCs w:val="1"/>
        </w:rPr>
        <w:t xml:space="preserve">Data in Brief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. https://doi.org/10.1016/j.dib.2020.105968</w:t>
      </w:r>
    </w:p>
    <w:p>
      <w:pPr>
        <w:spacing w:after="240" w:line="240" w:lineRule="atLeast"/>
      </w:pPr>
      <w:r>
        <w:rPr/>
        <w:t xml:space="preserve">Pianzola, J., Trechsel, A. H., Vassil, K., Schwerdt, G., &amp; Alvarez, M. (2019). The impact of personalized information on vote intention: Evidence from a randomized field experiment. </w:t>
      </w:r>
      <w:r>
        <w:rPr>
          <w:i w:val="1"/>
          <w:iCs w:val="1"/>
        </w:rPr>
        <w:t xml:space="preserve">The Journal of Politics</w:t>
      </w:r>
      <w:r>
        <w:rPr/>
        <w:t xml:space="preserve">, </w:t>
      </w:r>
      <w:r>
        <w:rPr>
          <w:i w:val="1"/>
          <w:iCs w:val="1"/>
        </w:rPr>
        <w:t xml:space="preserve">81</w:t>
      </w:r>
      <w:r>
        <w:rPr/>
        <w:t xml:space="preserve"> (3), 833–847.</w:t>
      </w:r>
    </w:p>
    <w:p>
      <w:pPr>
        <w:spacing w:after="240" w:line="240" w:lineRule="atLeast"/>
      </w:pPr>
      <w:r>
        <w:rPr/>
        <w:t xml:space="preserve">Garzia, D., Trechsel, A. H., &amp; De Sio, L. (2017). Party placement in supranational elections: An Introduction to the euandi 2014 Dataset. </w:t>
      </w:r>
      <w:r>
        <w:rPr>
          <w:i w:val="1"/>
          <w:iCs w:val="1"/>
        </w:rPr>
        <w:t xml:space="preserve">Party Politics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 (4), 333–341. https://doi.org/10.1177/1354068815593456</w:t>
      </w:r>
    </w:p>
    <w:p>
      <w:pPr>
        <w:spacing w:after="240" w:line="240" w:lineRule="atLeast"/>
      </w:pPr>
      <w:r>
        <w:rPr/>
        <w:t xml:space="preserve">Garzia, D., De Angelis, A., &amp; Trechsel, A. H. (2017). Voting Advice Applications and Electoral Participation: A Multi-Method Study. </w:t>
      </w:r>
      <w:r>
        <w:rPr>
          <w:i w:val="1"/>
          <w:iCs w:val="1"/>
        </w:rPr>
        <w:t xml:space="preserve">Political Communication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(3), 424–443.</w:t>
      </w:r>
    </w:p>
    <w:p>
      <w:pPr>
        <w:spacing w:after="240" w:line="240" w:lineRule="atLeast"/>
      </w:pPr>
      <w:r>
        <w:rPr/>
        <w:t xml:space="preserve">Vassil, K., Solvak, M., Vinkel, P., Trechsel, A. H., &amp; Alvarez, M. (2016). The diffusion of internet voting. Usage patterns of internet voting in Estonia between 2005 and 2015. </w:t>
      </w:r>
      <w:r>
        <w:rPr>
          <w:i w:val="1"/>
          <w:iCs w:val="1"/>
        </w:rPr>
        <w:t xml:space="preserve">Government Information Quarterly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(3), 453–459. https://doi.org/S0740624X1630096X</w:t>
      </w:r>
    </w:p>
    <w:p>
      <w:pPr>
        <w:spacing w:after="240" w:line="240" w:lineRule="atLeast"/>
      </w:pPr>
      <w:r>
        <w:rPr/>
        <w:t xml:space="preserve">Garzia, D., Bright, J., Trechsel, A. H., &amp; Lacey, J. (2016). Europe’s Voting Space and the Problem of Second-Order Elections: A Transnational Proposal. </w:t>
      </w:r>
      <w:r>
        <w:rPr>
          <w:i w:val="1"/>
          <w:iCs w:val="1"/>
        </w:rPr>
        <w:t xml:space="preserve">European Union Politics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, 184–198.</w:t>
      </w:r>
    </w:p>
    <w:p>
      <w:pPr>
        <w:spacing w:after="240" w:line="240" w:lineRule="atLeast"/>
      </w:pPr>
      <w:r>
        <w:rPr/>
        <w:t xml:space="preserve">Garzia, D., &amp; Trechsel, A. H. (2015). Systèmes d’Aide au Vote et Comportement politique: Tour d’horizon. </w:t>
      </w:r>
      <w:r>
        <w:rPr>
          <w:i w:val="1"/>
          <w:iCs w:val="1"/>
        </w:rPr>
        <w:t xml:space="preserve">Revue Internationale de Politique Comparée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, 231–243.</w:t>
      </w:r>
    </w:p>
    <w:p>
      <w:pPr>
        <w:spacing w:after="240" w:line="240" w:lineRule="atLeast"/>
      </w:pPr>
      <w:r>
        <w:rPr/>
        <w:t xml:space="preserve">Trechsel, A. H., Bardi, L., &amp; Bartolini, S. (2014). Party adaptation and change and the crisis of democracy. </w:t>
      </w:r>
      <w:r>
        <w:rPr>
          <w:i w:val="1"/>
          <w:iCs w:val="1"/>
        </w:rPr>
        <w:t xml:space="preserve">Party Politics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(2), 151–159.</w:t>
      </w:r>
    </w:p>
    <w:p>
      <w:pPr>
        <w:spacing w:after="240" w:line="240" w:lineRule="atLeast"/>
      </w:pPr>
      <w:r>
        <w:rPr/>
        <w:t xml:space="preserve">Alvarez, M., Trechsel, A. H., Levin, I., &amp; Mair, P. (2014). Party preferences in the digital age – The impact of voting advice applications. </w:t>
      </w:r>
      <w:r>
        <w:rPr>
          <w:i w:val="1"/>
          <w:iCs w:val="1"/>
        </w:rPr>
        <w:t xml:space="preserve">Party Politics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(2), 227–236.</w:t>
      </w:r>
    </w:p>
    <w:p>
      <w:pPr>
        <w:spacing w:after="240" w:line="240" w:lineRule="atLeast"/>
      </w:pPr>
      <w:r>
        <w:rPr/>
        <w:t xml:space="preserve">Trechsel, A. H., Bardi, L., &amp; Bartolini, S. (2014). Responsive or responsible? The role of parties in the 21st century politics. </w:t>
      </w:r>
      <w:r>
        <w:rPr>
          <w:i w:val="1"/>
          <w:iCs w:val="1"/>
        </w:rPr>
        <w:t xml:space="preserve">West European Politics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 (2), 235–252.</w:t>
      </w:r>
    </w:p>
    <w:p>
      <w:pPr>
        <w:spacing w:after="240" w:line="240" w:lineRule="atLeast"/>
      </w:pPr>
      <w:r>
        <w:rPr/>
        <w:t xml:space="preserve">Trechsel, A. H., Dinas, E., &amp; Vassil, K. (2014). A Look into the Mirror: Preferences, Representation and Electoral Participation. </w:t>
      </w:r>
      <w:r>
        <w:rPr>
          <w:i w:val="1"/>
          <w:iCs w:val="1"/>
        </w:rPr>
        <w:t xml:space="preserve">Electoral Studies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, 290–297.</w:t>
      </w:r>
    </w:p>
    <w:p>
      <w:pPr>
        <w:spacing w:after="240" w:line="240" w:lineRule="atLeast"/>
      </w:pPr>
      <w:r>
        <w:rPr/>
        <w:t xml:space="preserve">Trechsel, A. H., Alvarez, M., Levin, I., &amp; Vassil, K. (2014). Voting Advice Applications: how useful and for whom? </w:t>
      </w:r>
      <w:r>
        <w:rPr>
          <w:i w:val="1"/>
          <w:iCs w:val="1"/>
        </w:rPr>
        <w:t xml:space="preserve">Journal of Information Technology and Politics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, 82–101.</w:t>
      </w:r>
    </w:p>
    <w:p>
      <w:pPr>
        <w:spacing w:after="240" w:line="240" w:lineRule="atLeast"/>
      </w:pPr>
      <w:r>
        <w:rPr/>
        <w:t xml:space="preserve">Trechsel, A. H., &amp; Gasser, U. (2013). Casting Votes over the Internet: What Switzerland Might Teach Us About the Future of Elections. </w:t>
      </w:r>
      <w:r>
        <w:rPr>
          <w:i w:val="1"/>
          <w:iCs w:val="1"/>
        </w:rPr>
        <w:t xml:space="preserve">Harvard International Review</w:t>
      </w:r>
      <w:r>
        <w:rPr/>
        <w:t xml:space="preserve">, 53–57.</w:t>
      </w:r>
    </w:p>
    <w:p>
      <w:pPr>
        <w:spacing w:after="240" w:line="240" w:lineRule="atLeast"/>
      </w:pPr>
      <w:r>
        <w:rPr/>
        <w:t xml:space="preserve">Trechsel, A. H., &amp; Glencross, A. (2011). First or Second Order Referendums? Understanding the Votes on the EU Constitutional Treaty in Four EU Member States. </w:t>
      </w:r>
      <w:r>
        <w:rPr>
          <w:i w:val="1"/>
          <w:iCs w:val="1"/>
        </w:rPr>
        <w:t xml:space="preserve">West European Politics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(4), 121–145.</w:t>
      </w:r>
    </w:p>
    <w:p>
      <w:pPr>
        <w:spacing w:after="240" w:line="240" w:lineRule="atLeast"/>
      </w:pPr>
      <w:r>
        <w:rPr/>
        <w:t xml:space="preserve">Trechsel, A. H., &amp; Mair, P. (2011). When parties (also) position themselves – an introduction to the EU Profiler. </w:t>
      </w:r>
      <w:r>
        <w:rPr>
          <w:i w:val="1"/>
          <w:iCs w:val="1"/>
        </w:rPr>
        <w:t xml:space="preserve">Journal of Information Technology and Politics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(1), 1–20.</w:t>
      </w:r>
    </w:p>
    <w:p>
      <w:pPr>
        <w:spacing w:after="240" w:line="240" w:lineRule="atLeast"/>
      </w:pPr>
      <w:r>
        <w:rPr/>
        <w:t xml:space="preserve">Trechsel, A. H. (2010). Reflexive Accountability and Direct Democracy. </w:t>
      </w:r>
      <w:r>
        <w:rPr>
          <w:i w:val="1"/>
          <w:iCs w:val="1"/>
        </w:rPr>
        <w:t xml:space="preserve">West European Politics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(5), 1050–1064.</w:t>
      </w:r>
    </w:p>
    <w:p>
      <w:pPr>
        <w:spacing w:after="240" w:line="240" w:lineRule="atLeast"/>
      </w:pPr>
      <w:r>
        <w:rPr/>
        <w:t xml:space="preserve">Trechsel, A. H., Alvarez, M., &amp; Hall, T. (2009). Internet Voting in Comparative Perspective: The Case of Estonia. </w:t>
      </w:r>
      <w:r>
        <w:rPr>
          <w:i w:val="1"/>
          <w:iCs w:val="1"/>
        </w:rPr>
        <w:t xml:space="preserve">PS: Political Science &amp; Politics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 (3), 497–505.</w:t>
      </w:r>
    </w:p>
    <w:p>
      <w:pPr>
        <w:spacing w:after="240" w:line="240" w:lineRule="atLeast"/>
      </w:pPr>
      <w:r>
        <w:rPr/>
        <w:t xml:space="preserve">Trechsel, A. H. (2007). Inclusiveness of Old and New Forms of Citizens’ Electoral Participation. </w:t>
      </w:r>
      <w:r>
        <w:rPr>
          <w:i w:val="1"/>
          <w:iCs w:val="1"/>
        </w:rPr>
        <w:t xml:space="preserve">Representation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 (2), 111–121.</w:t>
      </w:r>
    </w:p>
    <w:p>
      <w:pPr>
        <w:spacing w:after="240" w:line="240" w:lineRule="atLeast"/>
      </w:pPr>
      <w:r>
        <w:rPr/>
        <w:t xml:space="preserve">Trechsel, A. H. (2005). How to Federalize the European Union ... and Why Bother. </w:t>
      </w:r>
      <w:r>
        <w:rPr>
          <w:i w:val="1"/>
          <w:iCs w:val="1"/>
        </w:rPr>
        <w:t xml:space="preserve">Journal of European Public Policy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(3), 401–418.</w:t>
      </w:r>
    </w:p>
    <w:p>
      <w:pPr>
        <w:spacing w:after="240" w:line="240" w:lineRule="atLeast"/>
      </w:pPr>
      <w:r>
        <w:rPr/>
        <w:t xml:space="preserve">Trechsel, A. H. (2005). Introduction. </w:t>
      </w:r>
      <w:r>
        <w:rPr>
          <w:i w:val="1"/>
          <w:iCs w:val="1"/>
        </w:rPr>
        <w:t xml:space="preserve">Journal of European Public Policy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(3), 397–400.</w:t>
      </w:r>
    </w:p>
    <w:p>
      <w:pPr>
        <w:spacing w:after="240" w:line="240" w:lineRule="atLeast"/>
      </w:pPr>
      <w:r>
        <w:rPr/>
        <w:t xml:space="preserve">Christin, T., &amp; Trechsel, A. H. (2002). Joining the EU? Explaining public opinion in Switzerland. </w:t>
      </w:r>
      <w:r>
        <w:rPr>
          <w:i w:val="1"/>
          <w:iCs w:val="1"/>
        </w:rPr>
        <w:t xml:space="preserve">European Union Politics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 (4), 415–443.</w:t>
      </w:r>
    </w:p>
    <w:p>
      <w:pPr>
        <w:spacing w:after="240" w:line="240" w:lineRule="atLeast"/>
      </w:pPr>
      <w:r>
        <w:rPr/>
        <w:t xml:space="preserve">Trechsel, A. H., Barankay, I., &amp; Sciarini, P. (2002). Institutional Openness and the use of Referendums and Popular Initiatives: Evidence from Swiss cantons. </w:t>
      </w:r>
      <w:r>
        <w:rPr>
          <w:i w:val="1"/>
          <w:iCs w:val="1"/>
        </w:rPr>
        <w:t xml:space="preserve">Swiss Political Science Review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(1), 169–199.</w:t>
      </w:r>
    </w:p>
    <w:p>
      <w:pPr>
        <w:spacing w:after="240" w:line="240" w:lineRule="atLeast"/>
      </w:pPr>
      <w:r>
        <w:rPr/>
        <w:t xml:space="preserve">Sciarini, P., &amp; Trechsel, A. H. (1998). Direct Democracy in Switzerland: Do Elites Matter? </w:t>
      </w:r>
      <w:r>
        <w:rPr>
          <w:i w:val="1"/>
          <w:iCs w:val="1"/>
        </w:rPr>
        <w:t xml:space="preserve">European Journal of Political Research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(1), 99–124.</w:t>
      </w:r>
    </w:p>
    <w:p>
      <w:pPr>
        <w:spacing w:after="240" w:line="240" w:lineRule="atLeast"/>
      </w:pPr>
      <w:r>
        <w:rPr/>
        <w:t xml:space="preserve">Trechsel, A. H., &amp; Sciarini, P. (1996). Démocratie directe en Suisse: l’élite politique victime des droits populaires? </w:t>
      </w:r>
      <w:r>
        <w:rPr>
          <w:i w:val="1"/>
          <w:iCs w:val="1"/>
        </w:rPr>
        <w:t xml:space="preserve">Revue Suisse de Science Politique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(2), 201–232.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Gilardi, F., &amp; Trechsel, A. H. (2023). Digital Democracy. In Emmenegger, Patrik, Fossati, Flavia, Häusermann, Silja, Papadopoulos, Yannis, Sciarini, Pascal &amp; Vatter, Adrian (Hrsg.), </w:t>
      </w:r>
      <w:r>
        <w:rPr>
          <w:i w:val="1"/>
          <w:iCs w:val="1"/>
        </w:rPr>
        <w:t xml:space="preserve">The Oxford Handbook of Swiss Politics</w:t>
      </w:r>
      <w:r>
        <w:rPr/>
        <w:t xml:space="preserve"> (S. 430–448). Oxford: Oxford University Press. https://doi.org/10.1093/oxfordhb/9780192871787.013.22</w:t>
      </w:r>
    </w:p>
    <w:p>
      <w:pPr>
        <w:spacing w:after="240" w:line="240" w:lineRule="atLeast"/>
      </w:pPr>
      <w:r>
        <w:rPr/>
        <w:t xml:space="preserve">Suhay, E., Grofman, B., &amp; Trechsel, A. H. (2020). A framework for the study of electoral persuasion. In Suhay, Elizabeth, Grofman, Bernhard &amp; Trechsel, Alexander H. (Hrsg.), </w:t>
      </w:r>
      <w:r>
        <w:rPr>
          <w:i w:val="1"/>
          <w:iCs w:val="1"/>
        </w:rPr>
        <w:t xml:space="preserve">The Oxford handbook of electoral persuasion</w:t>
      </w:r>
      <w:r>
        <w:rPr/>
        <w:t xml:space="preserve"> (S. 1–28). Oxford: Oxford University Press.</w:t>
      </w:r>
    </w:p>
    <w:p>
      <w:pPr>
        <w:spacing w:after="240" w:line="240" w:lineRule="atLeast"/>
      </w:pPr>
      <w:r>
        <w:rPr/>
        <w:t xml:space="preserve">Garzia, D., &amp; Trechsel, A. H. (2020). The engagement of European political scientists with parties and the citizens: the case of voting advice applications. In Boncourt, Thibaud, Engeli, Isabelle &amp; Garzia, Diego (Hrsg.), </w:t>
      </w:r>
      <w:r>
        <w:rPr>
          <w:i w:val="1"/>
          <w:iCs w:val="1"/>
        </w:rPr>
        <w:t xml:space="preserve">Political science in Europe: achievements, challenges, prospects</w:t>
      </w:r>
      <w:r>
        <w:rPr/>
        <w:t xml:space="preserve"> (S. 243–264). London: Rowman &amp; Littlefield.</w:t>
      </w:r>
    </w:p>
    <w:p>
      <w:pPr>
        <w:spacing w:after="240" w:line="240" w:lineRule="atLeast"/>
      </w:pPr>
      <w:r>
        <w:rPr/>
        <w:t xml:space="preserve">Maggini, N., De Sio, L., Garzia, D., &amp; Trechsel, A. H. (2019). Impact of issues on party performance. In De Sio, Lorenzo, Franklin, Mark &amp; Russo, Luana (Hrsg.), </w:t>
      </w:r>
      <w:r>
        <w:rPr>
          <w:i w:val="1"/>
          <w:iCs w:val="1"/>
        </w:rPr>
        <w:t xml:space="preserve">The European Parliament Elections of 2019</w:t>
      </w:r>
      <w:r>
        <w:rPr/>
        <w:t xml:space="preserve">. Rome: LUISS University Press.</w:t>
      </w:r>
    </w:p>
    <w:p>
      <w:pPr>
        <w:spacing w:after="240" w:line="240" w:lineRule="atLeast"/>
      </w:pPr>
      <w:r>
        <w:rPr/>
        <w:t xml:space="preserve">Trechsel, A. H., &amp; Garzia, D. (2019). Voting Advice Applications: The power of self-persuasion. In Suhay, Elizabeth, Grofman, Bernard &amp; Trechsel, Alexander (Hrsg.), </w:t>
      </w:r>
      <w:r>
        <w:rPr>
          <w:i w:val="1"/>
          <w:iCs w:val="1"/>
        </w:rPr>
        <w:t xml:space="preserve">The Oxford Handbook of Electoral Persuasion</w:t>
      </w:r>
      <w:r>
        <w:rPr/>
        <w:t xml:space="preserve">. Oxford: Oxford University Press.</w:t>
      </w:r>
    </w:p>
    <w:p>
      <w:pPr>
        <w:spacing w:after="240" w:line="240" w:lineRule="atLeast"/>
      </w:pPr>
      <w:r>
        <w:rPr/>
        <w:t xml:space="preserve">Torcal, M., &amp; Trechsel, A. H. (2016). Explaining Citizens’ Evaluations of Democracy. In Ferrin, Monica &amp; Kriesi, Hanspeter (Hrsg.), </w:t>
      </w:r>
      <w:r>
        <w:rPr>
          <w:i w:val="1"/>
          <w:iCs w:val="1"/>
        </w:rPr>
        <w:t xml:space="preserve">How Europeans View and Evaluate Democracy</w:t>
      </w:r>
      <w:r>
        <w:rPr/>
        <w:t xml:space="preserve"> (S. 206–232). Oxford: Oxford University Press.</w:t>
      </w:r>
    </w:p>
    <w:p>
      <w:pPr>
        <w:spacing w:after="240" w:line="240" w:lineRule="atLeast"/>
      </w:pPr>
      <w:r>
        <w:rPr/>
        <w:t xml:space="preserve">Bardi, L., Bartolini, S., &amp; Trechsel, A. H. (2015). Responsive and responsible? The role of parties in twenty-first century politics. In Bardi, Luciano, Bartolini, Stefano &amp; Trechsel, Alexander H. (Hrsg.), </w:t>
      </w:r>
      <w:r>
        <w:rPr>
          <w:i w:val="1"/>
          <w:iCs w:val="1"/>
        </w:rPr>
        <w:t xml:space="preserve">The Role of Parties in Twenty-First Century Politics</w:t>
      </w:r>
      <w:r>
        <w:rPr/>
        <w:t xml:space="preserve">. London: Routledge.</w:t>
      </w:r>
    </w:p>
    <w:p>
      <w:pPr>
        <w:spacing w:after="240" w:line="240" w:lineRule="atLeast"/>
      </w:pPr>
      <w:r>
        <w:rPr/>
        <w:t xml:space="preserve">Garzia, D., Trechsel, A. H., Vassil, K., &amp; Dinas, E. (2014). Indirect Campaigning – Past, Present and Future of Voting Advice Applications. In Trechsel, Alexander, Grofman, B. &amp; Franklin, M. (Hrsg.), </w:t>
      </w:r>
      <w:r>
        <w:rPr>
          <w:i w:val="1"/>
          <w:iCs w:val="1"/>
        </w:rPr>
        <w:t xml:space="preserve">The Internet and Democracy in Global Perspective: Voters, Candidates, Parties, and Social Movements</w:t>
      </w:r>
      <w:r>
        <w:rPr/>
        <w:t xml:space="preserve">. New York: Springer.</w:t>
      </w:r>
    </w:p>
    <w:p>
      <w:pPr>
        <w:spacing w:after="240" w:line="240" w:lineRule="atLeast"/>
      </w:pPr>
      <w:r>
        <w:rPr/>
        <w:t xml:space="preserve">Garzia, D., Sudulich, M., Trechsel, A. H., &amp; Vassil, K. (2014). Party placement in supranational elections: The case of the 2009 EP elections. In Garzia, Diego &amp; Marschall, S. (Hrsg.), </w:t>
      </w:r>
      <w:r>
        <w:rPr>
          <w:i w:val="1"/>
          <w:iCs w:val="1"/>
        </w:rPr>
        <w:t xml:space="preserve">Matching Voters with Parties and Candidates.Voting Advice Applications in a Comparative Perspective</w:t>
      </w:r>
      <w:r>
        <w:rPr/>
        <w:t xml:space="preserve">. Colchester: ECPR Press.</w:t>
      </w:r>
    </w:p>
    <w:p>
      <w:pPr>
        <w:spacing w:after="240" w:line="240" w:lineRule="atLeast"/>
      </w:pPr>
      <w:r>
        <w:rPr/>
        <w:t xml:space="preserve">Trechsel, A. H., Sudulich, L., &amp; Garzia, D. (2014). Party placement in supranational elections: The case of the 2009 EP elections. In Garzia, Diego &amp; Marschall, Stefan (Hrsg.), </w:t>
      </w:r>
      <w:r>
        <w:rPr>
          <w:i w:val="1"/>
          <w:iCs w:val="1"/>
        </w:rPr>
        <w:t xml:space="preserve">Matching Voters with Parties and Candidates</w:t>
      </w:r>
      <w:r>
        <w:rPr/>
        <w:t xml:space="preserve">. Colchester: ECPR Press.</w:t>
      </w:r>
    </w:p>
    <w:p>
      <w:pPr>
        <w:spacing w:after="240" w:line="240" w:lineRule="atLeast"/>
      </w:pPr>
      <w:r>
        <w:rPr/>
        <w:t xml:space="preserve">Trechsel, A. H., &amp; Ritter, D. (2014). Revolutionary Cells: On the Role of Texts, Tweets, and Status Updates in Nonviolent Revolutions. In Trechsel, Alexander, Grofman, Bernhard &amp; Franklin, Mark (Hrsg.), </w:t>
      </w:r>
      <w:r>
        <w:rPr>
          <w:i w:val="1"/>
          <w:iCs w:val="1"/>
        </w:rPr>
        <w:t xml:space="preserve">The Internet and Democracy in Global Perspective: Voters, Candidates, Parties, and Social Movements</w:t>
      </w:r>
      <w:r>
        <w:rPr/>
        <w:t xml:space="preserve"> (S. 111–128). New York: Springer.</w:t>
      </w:r>
    </w:p>
    <w:p>
      <w:pPr>
        <w:spacing w:after="240" w:line="240" w:lineRule="atLeast"/>
      </w:pPr>
      <w:r>
        <w:rPr/>
        <w:t xml:space="preserve">Trechsel, A. H., &amp; Hien, J. (2013). Einige Gedanken zur Geburtsstunde der Europäischen Bürgerinitiative. In Good, Andrea &amp; Platipodis, Bettina (Hrsg.), </w:t>
      </w:r>
      <w:r>
        <w:rPr>
          <w:i w:val="1"/>
          <w:iCs w:val="1"/>
        </w:rPr>
        <w:t xml:space="preserve">Direkte Demokratie: Herausforderungen zwischen Politik und Recht: Festschrift zum 65. Geburtstag von Andreas Auer</w:t>
      </w:r>
      <w:r>
        <w:rPr/>
        <w:t xml:space="preserve"> (S. 415–427). Bern: Stämpfli.</w:t>
      </w:r>
    </w:p>
    <w:p>
      <w:pPr>
        <w:spacing w:after="240" w:line="240" w:lineRule="atLeast"/>
      </w:pPr>
      <w:r>
        <w:rPr/>
        <w:t xml:space="preserve">Trechsel, A. H. (2010). How much „second-order“ were the European Parliamentary Elections 2009? In Gagatek, Wojciech (Hrsg.), </w:t>
      </w:r>
      <w:r>
        <w:rPr>
          <w:i w:val="1"/>
          <w:iCs w:val="1"/>
        </w:rPr>
        <w:t xml:space="preserve">The 2009 European Parliamentary Elections – an E-Book</w:t>
      </w:r>
      <w:r>
        <w:rPr/>
        <w:t xml:space="preserve">. Florence: European Union Democracy Observatory.</w:t>
      </w:r>
    </w:p>
    <w:p>
      <w:pPr>
        <w:spacing w:after="240" w:line="240" w:lineRule="atLeast"/>
      </w:pPr>
      <w:r>
        <w:rPr/>
        <w:t xml:space="preserve">Trechsel, A. H. (2010). Spinelli’s Heritage: An Introduction to the European Union’s Post-Lisbon Challenge. In Trechsel, Alexander &amp; Glencross, Andrew (Hrsg.), </w:t>
      </w:r>
      <w:r>
        <w:rPr>
          <w:i w:val="1"/>
          <w:iCs w:val="1"/>
        </w:rPr>
        <w:t xml:space="preserve">EU Federalism and Constitutionalism: The Legacy of Altiero Spinelli</w:t>
      </w:r>
      <w:r>
        <w:rPr/>
        <w:t xml:space="preserve">. Lanham: Lexington Books.</w:t>
      </w:r>
    </w:p>
    <w:p>
      <w:pPr>
        <w:spacing w:after="240" w:line="240" w:lineRule="atLeast"/>
      </w:pPr>
      <w:r>
        <w:rPr/>
        <w:t xml:space="preserve">Trechsel, A. H., Kersting, N., &amp; Schmitter, P. (2008). Die Zukunft der Demokratie. In Kersting, Norbert (Hrsg.), </w:t>
      </w:r>
      <w:r>
        <w:rPr>
          <w:i w:val="1"/>
          <w:iCs w:val="1"/>
        </w:rPr>
        <w:t xml:space="preserve">Politische Beteiligung.Einführung in dialogorientierte Instrumente politischer und gesellschaftlicher Partizipation</w:t>
      </w:r>
      <w:r>
        <w:rPr/>
        <w:t xml:space="preserve"> (S. 40–62). Wiesbaden: VS Verlag für Sozialwissenschaften.</w:t>
      </w:r>
    </w:p>
    <w:p>
      <w:pPr>
        <w:spacing w:after="240" w:line="240" w:lineRule="atLeast"/>
      </w:pPr>
      <w:r>
        <w:rPr/>
        <w:t xml:space="preserve">Trechsel, A. H. (2007). Direct democracy and European integration – A limited obstacle? In Church, Clive H. (Hrsg.), </w:t>
      </w:r>
      <w:r>
        <w:rPr>
          <w:i w:val="1"/>
          <w:iCs w:val="1"/>
        </w:rPr>
        <w:t xml:space="preserve">Switzerland and the European Union</w:t>
      </w:r>
      <w:r>
        <w:rPr/>
        <w:t xml:space="preserve"> (S. 36–51). London: Routledge.</w:t>
      </w:r>
    </w:p>
    <w:p>
      <w:pPr>
        <w:spacing w:after="240" w:line="240" w:lineRule="atLeast"/>
      </w:pPr>
      <w:r>
        <w:rPr/>
        <w:t xml:space="preserve">Trechsel, A. H. (2007). E-voting and Electoral Participation. In Vreese, Claes (Hrsg.), </w:t>
      </w:r>
      <w:r>
        <w:rPr>
          <w:i w:val="1"/>
          <w:iCs w:val="1"/>
        </w:rPr>
        <w:t xml:space="preserve">Dynamics of Referendum Campaigns – An International Perspective</w:t>
      </w:r>
      <w:r>
        <w:rPr/>
        <w:t xml:space="preserve"> (S. 159–182). London: Palgrave.</w:t>
      </w:r>
    </w:p>
    <w:p>
      <w:pPr>
        <w:spacing w:after="240" w:line="240" w:lineRule="atLeast"/>
      </w:pPr>
      <w:r>
        <w:rPr/>
        <w:t xml:space="preserve">Trechsel, A. H. (2007). Popular votes. In Klöti, Ulrich (Hrsg.), </w:t>
      </w:r>
      <w:r>
        <w:rPr>
          <w:i w:val="1"/>
          <w:iCs w:val="1"/>
        </w:rPr>
        <w:t xml:space="preserve">Handbook of Swiss Politics: 2nd, completely revised edition</w:t>
      </w:r>
      <w:r>
        <w:rPr/>
        <w:t xml:space="preserve"> (S. 435–461). Zürich: NZZ Verlag.</w:t>
      </w:r>
    </w:p>
    <w:p>
      <w:pPr>
        <w:spacing w:after="240" w:line="240" w:lineRule="atLeast"/>
      </w:pPr>
      <w:r>
        <w:rPr/>
        <w:t xml:space="preserve">Trechsel, A. H. (2007). Volksabstimmungen. In Klöti, Ulrich (Hrsg.), </w:t>
      </w:r>
      <w:r>
        <w:rPr>
          <w:i w:val="1"/>
          <w:iCs w:val="1"/>
        </w:rPr>
        <w:t xml:space="preserve">Handbuch Politisches System der Schweiz: 4., vollständig überarbeitete Auflage</w:t>
      </w:r>
      <w:r>
        <w:rPr/>
        <w:t xml:space="preserve"> (S. 459–487). Zürich: NZZ Verlag.</w:t>
      </w:r>
    </w:p>
    <w:p>
      <w:pPr>
        <w:spacing w:after="240" w:line="240" w:lineRule="atLeast"/>
      </w:pPr>
      <w:r>
        <w:rPr/>
        <w:t xml:space="preserve">Trechsel, A. H. (2005). Curing democracy’s ills? Modern technology and democratic procedures. In Council of Europe (Hrsg.), </w:t>
      </w:r>
      <w:r>
        <w:rPr>
          <w:i w:val="1"/>
          <w:iCs w:val="1"/>
        </w:rPr>
        <w:t xml:space="preserve">Reflections on the future of democracy in Europe: Contributions to The Future of Democracy in Europe Conference Project on “Making democratic institutions work”</w:t>
      </w:r>
      <w:r>
        <w:rPr/>
        <w:t xml:space="preserve"> (S. 45–50). Strasbourg: Council Of Europe Publishing.</w:t>
      </w:r>
    </w:p>
    <w:p>
      <w:pPr>
        <w:spacing w:after="240" w:line="240" w:lineRule="atLeast"/>
      </w:pPr>
      <w:r>
        <w:rPr/>
        <w:t xml:space="preserve">Trechsel, A. H., &amp; Mendez, F. (2005). The European Union and e-voting: upgrading Euro-elections. In Trechsel, Alexander &amp; Mendez, Fernando (Hrsg.), </w:t>
      </w:r>
      <w:r>
        <w:rPr>
          <w:i w:val="1"/>
          <w:iCs w:val="1"/>
        </w:rPr>
        <w:t xml:space="preserve">The European Union and E-voting.Addressing the European Parliament’s internet voting challenge</w:t>
      </w:r>
      <w:r>
        <w:rPr/>
        <w:t xml:space="preserve"> (S. 1–25). London: Routledge.</w:t>
      </w:r>
    </w:p>
    <w:p>
      <w:pPr>
        <w:spacing w:after="240" w:line="240" w:lineRule="atLeast"/>
      </w:pPr>
      <w:r>
        <w:rPr/>
        <w:t xml:space="preserve">Trechsel, A. H. (2003). Perspektiven der e-democracy in der EU. In Trechsel, Alexander, Auer, Andreas &amp; Koller, Thomas (Hrsg.), </w:t>
      </w:r>
      <w:r>
        <w:rPr>
          <w:i w:val="1"/>
          <w:iCs w:val="1"/>
        </w:rPr>
        <w:t xml:space="preserve">E-voting. Actes du colloque Informatique juridique 2002</w:t>
      </w:r>
      <w:r>
        <w:rPr/>
        <w:t xml:space="preserve"> (S. 367–387). Bern: Stämpfli.</w:t>
      </w:r>
    </w:p>
    <w:p>
      <w:pPr>
        <w:spacing w:after="240" w:line="240" w:lineRule="atLeast"/>
      </w:pPr>
      <w:r>
        <w:rPr/>
        <w:t xml:space="preserve">Trechsel, A. H., &amp; Hug, S. (2002). Clivages et identification partisane. In Hug, Simon &amp; Sciarini, Pascal (Hrsg.), </w:t>
      </w:r>
      <w:r>
        <w:rPr>
          <w:i w:val="1"/>
          <w:iCs w:val="1"/>
        </w:rPr>
        <w:t xml:space="preserve">Changements de valeurs et nouveaux clivages politiques en Suisse</w:t>
      </w:r>
      <w:r>
        <w:rPr/>
        <w:t xml:space="preserve"> (S. 207–235). Paris: L’Harmattan.</w:t>
      </w:r>
    </w:p>
    <w:p>
      <w:pPr>
        <w:spacing w:after="240" w:line="240" w:lineRule="atLeast"/>
      </w:pPr>
      <w:r>
        <w:rPr/>
        <w:t xml:space="preserve">Trechsel, A. H. (2002). La politique et l’administration dans la société de l’information. In Office fédéral de la statistique (OFS), Groupement de la science et de la recherche (GSR) &amp; Office fédéral de la communication (OFCOM) (Hrsg.), </w:t>
      </w:r>
      <w:r>
        <w:rPr>
          <w:i w:val="1"/>
          <w:iCs w:val="1"/>
        </w:rPr>
        <w:t xml:space="preserve">La société de l’information en Suisse: Etat des lieux et perspectives</w:t>
      </w:r>
      <w:r>
        <w:rPr/>
        <w:t xml:space="preserve"> (S. 101–117). Neuchâtel: OFS.</w:t>
      </w:r>
    </w:p>
    <w:p>
      <w:pPr>
        <w:spacing w:after="240" w:line="240" w:lineRule="atLeast"/>
      </w:pPr>
      <w:r>
        <w:rPr/>
        <w:t xml:space="preserve">Trechsel, A. H., Kies, R., &amp; Mendez, F. (2002). Remote voting via the Internet? The canton of Geneva pilot-project. In Gritzalis, Dimitri (Hrsg.), </w:t>
      </w:r>
      <w:r>
        <w:rPr>
          <w:i w:val="1"/>
          <w:iCs w:val="1"/>
        </w:rPr>
        <w:t xml:space="preserve">Secure Electronic Voting</w:t>
      </w:r>
      <w:r>
        <w:rPr/>
        <w:t xml:space="preserve"> (S. 181–194). Dordrecht, NL: Kluwer Academic Publishers.</w:t>
      </w:r>
    </w:p>
    <w:p>
      <w:pPr>
        <w:spacing w:after="240" w:line="240" w:lineRule="atLeast"/>
      </w:pPr>
      <w:r>
        <w:rPr/>
        <w:t xml:space="preserve">Trechsel, A. H., &amp; Kies, R. (2001). Le contexte socio-politique. In Trechsel, Alexander &amp; Auer, Andreas (Hrsg.), </w:t>
      </w:r>
      <w:r>
        <w:rPr>
          <w:i w:val="1"/>
          <w:iCs w:val="1"/>
        </w:rPr>
        <w:t xml:space="preserve">Voter par Internet? Le projet e-voting dans le canton de Genève dans une perspective socio-politique et juridique</w:t>
      </w:r>
      <w:r>
        <w:rPr/>
        <w:t xml:space="preserve"> (S. 6–73). Basel, Genf &amp; München: Helbing &amp; Lichtenbahn.</w:t>
      </w:r>
    </w:p>
    <w:p>
      <w:pPr>
        <w:spacing w:after="240" w:line="240" w:lineRule="atLeast"/>
      </w:pPr>
      <w:r>
        <w:rPr/>
        <w:t xml:space="preserve">Trechsel, A. H., &amp; Esposito, F. (2001). Why Plebiscite? A Critique of a Nebulous Concept. In Auer, Andreas &amp; Bützer, Michael (Hrsg.), </w:t>
      </w:r>
      <w:r>
        <w:rPr>
          <w:i w:val="1"/>
          <w:iCs w:val="1"/>
        </w:rPr>
        <w:t xml:space="preserve">Direct Democracy: The Eastern and Central European Experience</w:t>
      </w:r>
      <w:r>
        <w:rPr/>
        <w:t xml:space="preserve"> (S. 271–278). Aldershot: Ashgate.</w:t>
      </w:r>
    </w:p>
    <w:p>
      <w:pPr>
        <w:spacing w:after="240" w:line="240" w:lineRule="atLeast"/>
      </w:pPr>
      <w:r>
        <w:rPr/>
        <w:t xml:space="preserve">Trechsel, A. H. (2000). Popular initiative in Europe. In Rose, Richard &amp; et. al (Hrsg.), </w:t>
      </w:r>
      <w:r>
        <w:rPr>
          <w:i w:val="1"/>
          <w:iCs w:val="1"/>
        </w:rPr>
        <w:t xml:space="preserve">The International Encyclopedia of Elections</w:t>
      </w:r>
      <w:r>
        <w:rPr/>
        <w:t xml:space="preserve">. Washington DC: Congressional Quarterly.</w:t>
      </w:r>
    </w:p>
    <w:p>
      <w:pPr>
        <w:spacing w:after="240" w:line="240" w:lineRule="atLeast"/>
      </w:pPr>
      <w:r>
        <w:rPr/>
        <w:t xml:space="preserve">Trechsel, A. H. (1999). Volksabstimmungen. In Klöti, Ulrich (Hrsg.), </w:t>
      </w:r>
      <w:r>
        <w:rPr>
          <w:i w:val="1"/>
          <w:iCs w:val="1"/>
        </w:rPr>
        <w:t xml:space="preserve">Handbuch Politisches System der Schweiz</w:t>
      </w:r>
      <w:r>
        <w:rPr/>
        <w:t xml:space="preserve"> (S. 557–588). Zürich: NZZ Verlag.</w:t>
      </w:r>
    </w:p>
    <w:p>
      <w:pPr>
        <w:spacing w:after="240" w:line="240" w:lineRule="atLeast"/>
      </w:pPr>
      <w:r>
        <w:rPr/>
        <w:t xml:space="preserve">Trechsel, A. H., &amp; Kriesi, H. (1996). Switzerland: the referendum and initiative as a centrepiece of the political system. In Gallagher, Michael &amp; Vincenzo, Piero Uleri (Hrsg.), </w:t>
      </w:r>
      <w:r>
        <w:rPr>
          <w:i w:val="1"/>
          <w:iCs w:val="1"/>
        </w:rPr>
        <w:t xml:space="preserve">The Referendum Experience in Europe</w:t>
      </w:r>
      <w:r>
        <w:rPr/>
        <w:t xml:space="preserve"> (S. 185–208). London: Macmillan.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Suhay, Elizabeth, Grofman, Bernard, &amp; Trechsel, Alexander H. (Hrsg.). (2020). </w:t>
      </w:r>
      <w:r>
        <w:rPr>
          <w:i w:val="1"/>
          <w:iCs w:val="1"/>
        </w:rPr>
        <w:t xml:space="preserve">The Oxford handbook of electoral persuasion</w:t>
      </w:r>
      <w:r>
        <w:rPr/>
        <w:t xml:space="preserve">. Oxford: Oxford University Press.</w:t>
      </w:r>
    </w:p>
    <w:p>
      <w:pPr>
        <w:spacing w:after="240" w:line="240" w:lineRule="atLeast"/>
      </w:pPr>
      <w:r>
        <w:rPr/>
        <w:t xml:space="preserve">Grofman, Bernhard, Trechsel, Alexander H., &amp; Franklin, Mark (Hrsg.). (2014). </w:t>
      </w:r>
      <w:r>
        <w:rPr>
          <w:i w:val="1"/>
          <w:iCs w:val="1"/>
        </w:rPr>
        <w:t xml:space="preserve">The Internet and Democracy in Global Perspective: Voters, Candidates, Parties, and Social Movements.</w:t>
      </w:r>
      <w:r>
        <w:rPr/>
        <w:t xml:space="preserve"> New York: Springer.</w:t>
      </w:r>
    </w:p>
    <w:p>
      <w:pPr>
        <w:spacing w:after="240" w:line="240" w:lineRule="atLeast"/>
      </w:pPr>
      <w:r>
        <w:rPr/>
        <w:t xml:space="preserve">Trechsel, Alexander H., &amp; Glencross, Andrew (Hrsg.). (2010). </w:t>
      </w:r>
      <w:r>
        <w:rPr>
          <w:i w:val="1"/>
          <w:iCs w:val="1"/>
        </w:rPr>
        <w:t xml:space="preserve">EU Federalism and Constitutionalism: The Legacy of Altiero Spinelli</w:t>
      </w:r>
      <w:r>
        <w:rPr/>
        <w:t xml:space="preserve">. Lanham: Lexington Books.</w:t>
      </w:r>
    </w:p>
    <w:p>
      <w:pPr>
        <w:spacing w:after="240" w:line="240" w:lineRule="atLeast"/>
      </w:pPr>
      <w:r>
        <w:rPr/>
        <w:t xml:space="preserve">Trechsel, Alexander H. (Hrsg.). (2006). </w:t>
      </w:r>
      <w:r>
        <w:rPr>
          <w:i w:val="1"/>
          <w:iCs w:val="1"/>
        </w:rPr>
        <w:t xml:space="preserve">Towards a Federal Europe?</w:t>
      </w:r>
      <w:r>
        <w:rPr/>
        <w:t xml:space="preserve"> London: Routledge.</w:t>
      </w:r>
    </w:p>
    <w:p>
      <w:pPr>
        <w:spacing w:after="240" w:line="240" w:lineRule="atLeast"/>
      </w:pPr>
      <w:r>
        <w:rPr/>
        <w:t xml:space="preserve">Trechsel, Alexander, &amp; Mendez, Fernando (Hrsg.). (2005). </w:t>
      </w:r>
      <w:r>
        <w:rPr>
          <w:i w:val="1"/>
          <w:iCs w:val="1"/>
        </w:rPr>
        <w:t xml:space="preserve">The European Union and E-voting. Addressing the European Parliament’s internet voting challenge</w:t>
      </w:r>
      <w:r>
        <w:rPr/>
        <w:t xml:space="preserve">. London: Routledge.</w:t>
      </w:r>
    </w:p>
    <w:p>
      <w:pPr>
        <w:spacing w:after="240" w:line="240" w:lineRule="atLeast"/>
      </w:pPr>
      <w:r>
        <w:rPr/>
        <w:t xml:space="preserve">Schmitter, Philippe, &amp; Trechsel, Alexander H. (Hrsg.). (2004). </w:t>
      </w:r>
      <w:r>
        <w:rPr>
          <w:i w:val="1"/>
          <w:iCs w:val="1"/>
        </w:rPr>
        <w:t xml:space="preserve">Green Paper on the Future of Democracy in Europe: Trends, Analyses and Reforms</w:t>
      </w:r>
      <w:r>
        <w:rPr/>
        <w:t xml:space="preserve">. Strasbourg: Council of Europe.</w:t>
      </w:r>
    </w:p>
    <w:p>
      <w:pPr>
        <w:spacing w:after="240" w:line="240" w:lineRule="atLeast"/>
      </w:pPr>
      <w:r>
        <w:rPr/>
        <w:t xml:space="preserve">Auer, Andreas, &amp; Trechsel, Alexander H. (Hrsg.). (2001). </w:t>
      </w:r>
      <w:r>
        <w:rPr>
          <w:i w:val="1"/>
          <w:iCs w:val="1"/>
        </w:rPr>
        <w:t xml:space="preserve">Voter par Internet? Le projet e-voting dans le canton de Genève dans une perspective socio-politique et juridique</w:t>
      </w:r>
      <w:r>
        <w:rPr/>
        <w:t xml:space="preserve">. Basel, Genf &amp; München: Helbing &amp; Lichtenhahn.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Ströbele, M. F., Leosk, N., &amp; Trechsel, A. H. (19. Juni 2017). </w:t>
      </w:r>
      <w:r>
        <w:rPr>
          <w:i w:val="1"/>
          <w:iCs w:val="1"/>
        </w:rPr>
        <w:t xml:space="preserve">Two Countries/Two Decades/Two Outcomes: A brief comparison of e-government solutions in Estonia and Switzerland</w:t>
      </w:r>
      <w:r>
        <w:rPr/>
        <w:t xml:space="preserve">. xUpery Ltd., Zurich, commissioned by PROCIVIS.</w:t>
      </w:r>
    </w:p>
    <w:p>
      <w:pPr>
        <w:spacing w:after="240" w:line="240" w:lineRule="atLeast"/>
      </w:pPr>
      <w:r>
        <w:rPr/>
        <w:t xml:space="preserve">Trechsel, A. H., &amp; Diethelm, R. V. (2010). </w:t>
      </w:r>
      <w:r>
        <w:rPr>
          <w:i w:val="1"/>
          <w:iCs w:val="1"/>
        </w:rPr>
        <w:t xml:space="preserve">Internet voting in Estonia -.A comparative analysis of four elections since 2005. Report for the Council of Europe</w:t>
      </w:r>
      <w:r>
        <w:rPr/>
        <w:t xml:space="preserve">. Strasbourg.</w:t>
      </w:r>
    </w:p>
    <w:p>
      <w:pPr>
        <w:spacing w:after="240" w:line="240" w:lineRule="atLeast"/>
      </w:pPr>
      <w:r>
        <w:rPr/>
        <w:t xml:space="preserve">Trechsel, A. H., de Witte, B., Demjanovic, D., Hellquist, E., &amp; Hien, J. (2010). </w:t>
      </w:r>
      <w:r>
        <w:rPr>
          <w:i w:val="1"/>
          <w:iCs w:val="1"/>
        </w:rPr>
        <w:t xml:space="preserve">Legislating after Lisbon – New Opportunities for the European Parliament</w:t>
      </w:r>
      <w:r>
        <w:rPr/>
        <w:t xml:space="preserve"> (EUDO Reports).</w:t>
      </w:r>
    </w:p>
    <w:p>
      <w:pPr>
        <w:spacing w:after="240" w:line="240" w:lineRule="atLeast"/>
      </w:pPr>
      <w:r>
        <w:rPr/>
        <w:t xml:space="preserve">Trechsel, A. H., &amp; Diethelm, R. V. (2007). </w:t>
      </w:r>
      <w:r>
        <w:rPr>
          <w:i w:val="1"/>
          <w:iCs w:val="1"/>
        </w:rPr>
        <w:t xml:space="preserve">Internet Voting in the March 2007 Parliamentary Elections in Estonia: Report for the Council of Europe</w:t>
      </w:r>
      <w:r>
        <w:rPr/>
        <w:t xml:space="preserve">. Strasbourg.</w:t>
      </w:r>
    </w:p>
    <w:p>
      <w:pPr>
        <w:spacing w:after="240" w:line="240" w:lineRule="atLeast"/>
      </w:pPr>
      <w:r>
        <w:rPr/>
        <w:t xml:space="preserve">Breuer, F., &amp; Trechsel, A. H. (2006). </w:t>
      </w:r>
      <w:r>
        <w:rPr>
          <w:i w:val="1"/>
          <w:iCs w:val="1"/>
        </w:rPr>
        <w:t xml:space="preserve">Internet Voting in the October 2005 Local Elections in Estonia. Report for the Council of Europe</w:t>
      </w:r>
      <w:r>
        <w:rPr/>
        <w:t xml:space="preserve">. Strasbourg.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Dias Ferreira da Silva, F., Reiljan, A., Cicchi, L., Trechsel, A. H., &amp; Garzia, D. (14. Januar 2024). </w:t>
      </w:r>
      <w:r>
        <w:rPr>
          <w:i w:val="1"/>
          <w:iCs w:val="1"/>
        </w:rPr>
        <w:t xml:space="preserve">How voting advice applications can be used to study the positions of political parties</w:t>
      </w:r>
      <w:r>
        <w:rPr/>
        <w:t xml:space="preserve">. Abgerufen von https://eprints.lse.ac.uk/113082/1/europpblog_2021_11_18_how_voting_advice_applications_can_be_used_to.pdf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Cicchi, L., Reiljan, A., Garzia, D., Ferreira da Silva, F., &amp; Trechsel, A. H. (2023). </w:t>
      </w:r>
      <w:r>
        <w:rPr>
          <w:i w:val="1"/>
          <w:iCs w:val="1"/>
        </w:rPr>
        <w:t xml:space="preserve">Party placement in the void: the European political space in 10 years of cross-national Voting Advice Applications</w:t>
      </w:r>
      <w:r>
        <w:rPr/>
        <w:t xml:space="preserve">. Robert Schuman Centre for Advanced Studies Research Paper No. 2023/20.</w:t>
      </w:r>
    </w:p>
    <w:p>
      <w:pPr>
        <w:spacing w:after="240" w:line="240" w:lineRule="atLeast"/>
      </w:pPr>
      <w:r>
        <w:rPr/>
        <w:t xml:space="preserve">Michel, E., Cicchi, L., Garzia, D., Dias Ferreira da Silva, F., &amp; Trechsel, A. H. (2019). </w:t>
      </w:r>
      <w:r>
        <w:rPr>
          <w:i w:val="1"/>
          <w:iCs w:val="1"/>
        </w:rPr>
        <w:t xml:space="preserve">euandi2019: Project description and datasets documentation</w:t>
      </w:r>
      <w:r>
        <w:rPr/>
        <w:t xml:space="preserve"> (EUI Working Papers No. RSCAS 2019). Fiesole: European University Institute.</w:t>
      </w:r>
    </w:p>
    <w:p>
      <w:pPr>
        <w:spacing w:after="240" w:line="240" w:lineRule="atLeast"/>
      </w:pPr>
      <w:r>
        <w:rPr/>
        <w:t xml:space="preserve">Trechsel, A. H., De Sio, L., &amp; Garzia, D. (2017). </w:t>
      </w:r>
      <w:r>
        <w:rPr>
          <w:i w:val="1"/>
          <w:iCs w:val="1"/>
        </w:rPr>
        <w:t xml:space="preserve">2014 as the First (Truly) European Elections?</w:t>
      </w:r>
      <w:r>
        <w:rPr/>
        <w:t xml:space="preserve"> Robert Schuman Centre for Advanced Studies Research Paper No. RSCAS 2017/14.</w:t>
      </w:r>
    </w:p>
    <w:p>
      <w:pPr>
        <w:spacing w:after="240" w:line="240" w:lineRule="atLeast"/>
      </w:pPr>
      <w:r>
        <w:rPr/>
        <w:t xml:space="preserve">Garzia, D., Trechsel, A. H., De Sio, L., &amp; De Angelis, A. (2015). </w:t>
      </w:r>
      <w:r>
        <w:rPr>
          <w:i w:val="1"/>
          <w:iCs w:val="1"/>
        </w:rPr>
        <w:t xml:space="preserve">euandi. Project Description and Datasets Documentation.</w:t>
      </w:r>
      <w:r>
        <w:rPr/>
        <w:t xml:space="preserve"> (EUI Working Paper No. RSCAS 2015/01). Fiesole. Abgerufen von http://papers.ssrn.com/sol3/papers.cfm?abstract_id=2553919</w:t>
      </w:r>
    </w:p>
    <w:p>
      <w:pPr>
        <w:spacing w:after="240" w:line="240" w:lineRule="atLeast"/>
      </w:pPr>
      <w:r>
        <w:rPr/>
        <w:t xml:space="preserve">Bright, J., Garzia, D., Lacey, J., &amp; Trechsel, A. H. (2014). </w:t>
      </w:r>
      <w:r>
        <w:rPr>
          <w:i w:val="1"/>
          <w:iCs w:val="1"/>
        </w:rPr>
        <w:t xml:space="preserve">Trans-nationalising Europe’s Voting Space</w:t>
      </w:r>
      <w:r>
        <w:rPr/>
        <w:t xml:space="preserve"> (EUI Working Paper No. RSCAS 2014/02). Fiesole.</w:t>
      </w:r>
    </w:p>
    <w:p>
      <w:pPr>
        <w:spacing w:after="240" w:line="240" w:lineRule="atLeast"/>
      </w:pPr>
      <w:r>
        <w:rPr/>
        <w:t xml:space="preserve">Rose, R., &amp; Trechsel, A. H. (2013). </w:t>
      </w:r>
      <w:r>
        <w:rPr>
          <w:i w:val="1"/>
          <w:iCs w:val="1"/>
        </w:rPr>
        <w:t xml:space="preserve">How Size Matters: Portugal as an EU Member</w:t>
      </w:r>
      <w:r>
        <w:rPr/>
        <w:t xml:space="preserve"> (SPP Working Paper No. 500). Glasgow.</w:t>
      </w:r>
    </w:p>
    <w:p>
      <w:pPr>
        <w:spacing w:after="240" w:line="240" w:lineRule="atLeast"/>
      </w:pPr>
      <w:r>
        <w:rPr/>
        <w:t xml:space="preserve">Mair, P., &amp; Trechsel, A. H. (2009). </w:t>
      </w:r>
      <w:r>
        <w:rPr>
          <w:i w:val="1"/>
          <w:iCs w:val="1"/>
        </w:rPr>
        <w:t xml:space="preserve">When parties (also) position themselves – an introduction to the EU Profiler</w:t>
      </w:r>
      <w:r>
        <w:rPr/>
        <w:t xml:space="preserve"> (EUI Working Papers RSCAS No. 2009/65).</w:t>
      </w:r>
    </w:p>
    <w:p>
      <w:pPr>
        <w:spacing w:after="240" w:line="240" w:lineRule="atLeast"/>
      </w:pPr>
      <w:r>
        <w:rPr/>
        <w:t xml:space="preserve">Trechsel, A. H., Mendez, F., &amp; Kies, R. (2003). </w:t>
      </w:r>
      <w:r>
        <w:rPr>
          <w:i w:val="1"/>
          <w:iCs w:val="1"/>
        </w:rPr>
        <w:t xml:space="preserve">The European Parliament and the Challenge of Internet Voting</w:t>
      </w:r>
      <w:r>
        <w:rPr/>
        <w:t xml:space="preserve"> (Policy Paper of the European University Institute/The Robert Schuman Centre for Advanced Studies No. 3).</w:t>
      </w:r>
    </w:p>
    <w:p>
      <w:pPr>
        <w:spacing w:after="240" w:line="240" w:lineRule="atLeast"/>
      </w:pPr>
      <w:r>
        <w:rPr/>
        <w:t xml:space="preserve">Trechsel, A. H., Kies, R., Mendez, F., &amp; Schmitter, P. (2003). </w:t>
      </w:r>
      <w:r>
        <w:rPr>
          <w:i w:val="1"/>
          <w:iCs w:val="1"/>
        </w:rPr>
        <w:t xml:space="preserve">Evaluation of the use of new technologies in order to facilitate democracy in Europe</w:t>
      </w:r>
      <w:r>
        <w:rPr/>
        <w:t xml:space="preserve"> (STOA working paper).</w:t>
      </w:r>
    </w:p>
    <w:p>
      <w:pPr>
        <w:spacing w:after="240" w:line="240" w:lineRule="atLeast"/>
      </w:pPr>
      <w:r>
        <w:rPr/>
        <w:t xml:space="preserve">Trechsel, A. H. (1995). </w:t>
      </w:r>
      <w:r>
        <w:rPr>
          <w:i w:val="1"/>
          <w:iCs w:val="1"/>
        </w:rPr>
        <w:t xml:space="preserve">Clivages en Suisse. Analyse des impacts relatifs des clivages sur l’électorat suisse lors des élections fédérales</w:t>
      </w:r>
      <w:r>
        <w:rPr/>
        <w:t xml:space="preserve"> (Etudes et Recherches No. 31).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Alexander H. Trechsel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Alexander H. Trechsel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