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iur. Zaïra Zihlmann</w:t>
      </w:r>
    </w:p>
    <w:p>
      <w:pPr>
        <w:spacing w:after="240" w:line="240" w:lineRule="atLeast"/>
      </w:pPr>
      <w:r>
        <w:t xml:space="preserve">ORCID: 0000-0002-3592-1606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Gruber Malte-Christian</w:t>
      </w:r>
      <w:r>
        <w:rPr/>
        <w:t xml:space="preserve">/</w:t>
      </w:r>
      <w:r>
        <w:rPr>
          <w:smallCaps w:val="1"/>
          <w:caps w:val="0"/>
        </w:rPr>
        <w:t xml:space="preserve">Maatz Jann</w:t>
      </w:r>
      <w:r>
        <w:rPr/>
        <w:t xml:space="preserve">/</w:t>
      </w:r>
      <w:r>
        <w:rPr>
          <w:smallCaps w:val="1"/>
          <w:caps w:val="0"/>
        </w:rPr>
        <w:t xml:space="preserve">Zihlmann Zaïra</w:t>
      </w:r>
      <w:r>
        <w:rPr/>
        <w:t xml:space="preserve">, Metamorphosen der Datenkörper, in: Rechtstheorie 2025, pp. 95–118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Brieske Jasmin</w:t>
      </w:r>
      <w:r>
        <w:rPr/>
        <w:t xml:space="preserve">/</w:t>
      </w:r>
      <w:r>
        <w:rPr>
          <w:smallCaps w:val="1"/>
          <w:caps w:val="0"/>
        </w:rPr>
        <w:t xml:space="preserve">Müller Benjamin</w:t>
      </w:r>
      <w:r>
        <w:rPr/>
        <w:t xml:space="preserve">/</w:t>
      </w:r>
      <w:r>
        <w:rPr>
          <w:smallCaps w:val="1"/>
          <w:caps w:val="0"/>
        </w:rPr>
        <w:t xml:space="preserve">Pfeiffer Lars</w:t>
      </w:r>
      <w:r>
        <w:rPr/>
        <w:t xml:space="preserve">/</w:t>
      </w:r>
      <w:r>
        <w:rPr>
          <w:smallCaps w:val="1"/>
          <w:caps w:val="0"/>
        </w:rPr>
        <w:t xml:space="preserve">Zihlmann Zaïra</w:t>
      </w:r>
      <w:r>
        <w:rPr/>
        <w:t xml:space="preserve">, Zeitenwende beim Datenzugang? Struktur, Inhalte und Abstimmungsbedarf der aktuellen Regelungsvorschläge, in: ZD-Aktuell 2024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Burri Mira</w:t>
      </w:r>
      <w:r>
        <w:rPr/>
        <w:t xml:space="preserve">/</w:t>
      </w:r>
      <w:r>
        <w:rPr>
          <w:smallCaps w:val="1"/>
          <w:caps w:val="0"/>
        </w:rPr>
        <w:t xml:space="preserve">Zihlmann Zaïra</w:t>
      </w:r>
      <w:r>
        <w:rPr/>
        <w:t xml:space="preserve">, The EU Cyber Resilience Act: An Appraisal and Contextualization, in: Zeitschrift für Europarecht (EuZ) 25/2/2023, pp. 1–45, https://doi.org/10.5281/zenodo.11066043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Burri Mira</w:t>
      </w:r>
      <w:r>
        <w:rPr/>
        <w:t xml:space="preserve">/</w:t>
      </w:r>
      <w:r>
        <w:rPr>
          <w:smallCaps w:val="1"/>
          <w:caps w:val="0"/>
        </w:rPr>
        <w:t xml:space="preserve">Zihlmann Zaïra</w:t>
      </w:r>
      <w:r>
        <w:rPr/>
        <w:t xml:space="preserve">, Intermediaries’ Liability in Light of the Recent EU Copyright Reform, in: Indian Journal of Intellectual Property Law 11/2021, pp. 35–75, https://papers.ssrn.com/sol3/papers.cfm?abstract_id=3748328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Tamò-Larrieux Aurelia</w:t>
      </w:r>
      <w:r>
        <w:rPr/>
        <w:t xml:space="preserve">/</w:t>
      </w:r>
      <w:r>
        <w:rPr>
          <w:smallCaps w:val="1"/>
          <w:caps w:val="0"/>
        </w:rPr>
        <w:t xml:space="preserve">Mayer Simon</w:t>
      </w:r>
      <w:r>
        <w:rPr/>
        <w:t xml:space="preserve">/</w:t>
      </w:r>
      <w:r>
        <w:rPr>
          <w:smallCaps w:val="1"/>
          <w:caps w:val="0"/>
        </w:rPr>
        <w:t xml:space="preserve">Zihlmann Zaïra</w:t>
      </w:r>
      <w:r>
        <w:rPr/>
        <w:t xml:space="preserve">, Not Hardcoding but Softcoding Data Protection, in: Technology and Regulation 2021, pp. 17–34, https://doi.org/10.26116/techreg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Zihlmann Zaïra</w:t>
      </w:r>
      <w:r>
        <w:rPr/>
        <w:t xml:space="preserve">, Gegenwärtige und zukünftige Regulierung von Genome Editing in der Pflanzenzüchtung, in: Sicherheit&amp;Recht 3/2019, pp. 153–168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Spirig Eliane</w:t>
      </w:r>
      <w:r>
        <w:rPr/>
        <w:t xml:space="preserve">/</w:t>
      </w:r>
      <w:r>
        <w:rPr>
          <w:smallCaps w:val="1"/>
          <w:caps w:val="0"/>
        </w:rPr>
        <w:t xml:space="preserve">Zihlmann Zaïra</w:t>
      </w:r>
      <w:r>
        <w:rPr/>
        <w:t xml:space="preserve">, Critical Legal Tech an der Universität Luzern, in: cognitio 2/2019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Gruber Malte-Christian</w:t>
      </w:r>
      <w:r>
        <w:rPr/>
        <w:t xml:space="preserve">/</w:t>
      </w:r>
      <w:r>
        <w:rPr>
          <w:smallCaps w:val="1"/>
          <w:caps w:val="0"/>
        </w:rPr>
        <w:t xml:space="preserve">Zihlmann Zaïra</w:t>
      </w:r>
      <w:r>
        <w:rPr/>
        <w:t xml:space="preserve">, Körperdaten und Datenkörper, Zugänge zum digitalen Zwilling, in: Augsberg, Steffen/Düwell, Marcus/Müller, Benjamin (Eds.), Datenzugangsregeln, Zwischen Freigabe und Kontrolle, Frankfurt am Main 2024, pp. 161–212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Contribution in Conference Proceedings/Paper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Zihlmann Zaïra</w:t>
      </w:r>
      <w:r>
        <w:rPr/>
        <w:t xml:space="preserve">/</w:t>
      </w:r>
      <w:r>
        <w:rPr>
          <w:smallCaps w:val="1"/>
          <w:caps w:val="0"/>
        </w:rPr>
        <w:t xml:space="preserve">Garcia Kimberly</w:t>
      </w:r>
      <w:r>
        <w:rPr/>
        <w:t xml:space="preserve">/</w:t>
      </w:r>
      <w:r>
        <w:rPr>
          <w:smallCaps w:val="1"/>
          <w:caps w:val="0"/>
        </w:rPr>
        <w:t xml:space="preserve">Mayer Simon</w:t>
      </w:r>
      <w:r>
        <w:rPr/>
        <w:t xml:space="preserve">/</w:t>
      </w:r>
      <w:r>
        <w:rPr>
          <w:smallCaps w:val="1"/>
          <w:caps w:val="0"/>
        </w:rPr>
        <w:t xml:space="preserve">Tamò-Larrieux Aurelia</w:t>
      </w:r>
      <w:r>
        <w:rPr/>
        <w:t xml:space="preserve">, A right to repair privacy-invasive services: Is a new, more holistic European approach emerging?, in: Čartolovni, Anto/Fedosov, Anton/Fosch-Villaronga, Eduard/Lutz, Christoph/Tamò-Larrieux, Aurelia (Eds.), Proceedings of the 2022 GoodBrother International Conference on Privacy-friendly and Trustworthy Technology for Society, Zagreb 2022, https://doi.org/10.5281/zenodo.6813377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Tamò-Larrieux Aurelia</w:t>
      </w:r>
      <w:r>
        <w:rPr/>
        <w:t xml:space="preserve">/</w:t>
      </w:r>
      <w:r>
        <w:rPr>
          <w:smallCaps w:val="1"/>
          <w:caps w:val="0"/>
        </w:rPr>
        <w:t xml:space="preserve">Zihlmann Zaïra</w:t>
      </w:r>
      <w:r>
        <w:rPr/>
        <w:t xml:space="preserve">/</w:t>
      </w:r>
      <w:r>
        <w:rPr>
          <w:smallCaps w:val="1"/>
          <w:caps w:val="0"/>
        </w:rPr>
        <w:t xml:space="preserve">Garcia Kimberly</w:t>
      </w:r>
      <w:r>
        <w:rPr/>
        <w:t xml:space="preserve">/</w:t>
      </w:r>
      <w:r>
        <w:rPr>
          <w:smallCaps w:val="1"/>
          <w:caps w:val="0"/>
        </w:rPr>
        <w:t xml:space="preserve">Mayer Simon</w:t>
      </w:r>
      <w:r>
        <w:rPr/>
        <w:t xml:space="preserve">, The Right to Customization: Conceptualizing the Right to Repair for Informational Privacy, in: Gruschka, Nils/Las Antunes, Luís Filipe/Rannenberg, Kai/Drogkaris, Prokopios (Eds.), Privacy Technologies and Policy, 9th Annual Privacy Forum, APF 2021, Oslo, Norway, June 17–18, 2021, Proceedings, Cham 2021, pp. 3–22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García Kimberly</w:t>
      </w:r>
      <w:r>
        <w:rPr/>
        <w:t xml:space="preserve">/</w:t>
      </w:r>
      <w:r>
        <w:rPr>
          <w:smallCaps w:val="1"/>
          <w:caps w:val="0"/>
        </w:rPr>
        <w:t xml:space="preserve">Zihlmann Zaïra</w:t>
      </w:r>
      <w:r>
        <w:rPr/>
        <w:t xml:space="preserve">/</w:t>
      </w:r>
      <w:r>
        <w:rPr>
          <w:smallCaps w:val="1"/>
          <w:caps w:val="0"/>
        </w:rPr>
        <w:t xml:space="preserve">Mayer Simon</w:t>
      </w:r>
      <w:r>
        <w:rPr/>
        <w:t xml:space="preserve">/</w:t>
      </w:r>
      <w:r>
        <w:rPr>
          <w:smallCaps w:val="1"/>
          <w:caps w:val="0"/>
        </w:rPr>
        <w:t xml:space="preserve">Tamò-Larrieux Aurelia</w:t>
      </w:r>
      <w:r>
        <w:rPr/>
        <w:t xml:space="preserve">/</w:t>
      </w:r>
      <w:r>
        <w:rPr>
          <w:smallCaps w:val="1"/>
          <w:caps w:val="0"/>
        </w:rPr>
        <w:t xml:space="preserve">Hooss Johannes</w:t>
      </w:r>
      <w:r>
        <w:rPr/>
        <w:t xml:space="preserve">, Towards Privacy-Friendly Smart Products, in: PST (Ed.), 18th International Conference on Privacy, Security and Trust, New York 2021, pp. 1–7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Working Paper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Zihlmann Zaïra</w:t>
      </w:r>
      <w:r>
        <w:rPr/>
        <w:t xml:space="preserve">, The Proposed EU Cyber Resilience Act from a Digital Sovereignty Perspective, 2023, https://www.sectorplandls.nl/wordpress/wp-content/uploads/2023/06/Brussels-Cybersecurity-Conference-Paper-Sessions.pdf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Guitton Clement</w:t>
      </w:r>
      <w:r>
        <w:rPr/>
        <w:t xml:space="preserve">/</w:t>
      </w:r>
      <w:r>
        <w:rPr>
          <w:smallCaps w:val="1"/>
          <w:caps w:val="0"/>
        </w:rPr>
        <w:t xml:space="preserve">Tamò-Larrieux Aurelia</w:t>
      </w:r>
      <w:r>
        <w:rPr/>
        <w:t xml:space="preserve">/</w:t>
      </w:r>
      <w:r>
        <w:rPr>
          <w:smallCaps w:val="1"/>
          <w:caps w:val="0"/>
        </w:rPr>
        <w:t xml:space="preserve">Mayer Simon</w:t>
      </w:r>
      <w:r>
        <w:rPr/>
        <w:t xml:space="preserve">/</w:t>
      </w:r>
      <w:r>
        <w:rPr>
          <w:smallCaps w:val="1"/>
          <w:caps w:val="0"/>
        </w:rPr>
        <w:t xml:space="preserve">Fosch-Villaronga Eduard</w:t>
      </w:r>
      <w:r>
        <w:rPr/>
        <w:t xml:space="preserve">/</w:t>
      </w:r>
      <w:r>
        <w:rPr>
          <w:smallCaps w:val="1"/>
          <w:caps w:val="0"/>
        </w:rPr>
        <w:t xml:space="preserve">Kamara Irene</w:t>
      </w:r>
      <w:r>
        <w:rPr/>
        <w:t xml:space="preserve">/</w:t>
      </w:r>
      <w:r>
        <w:rPr>
          <w:smallCaps w:val="1"/>
          <w:caps w:val="0"/>
        </w:rPr>
        <w:t xml:space="preserve">Van Landuyt Dimitri</w:t>
      </w:r>
      <w:r>
        <w:rPr/>
        <w:t xml:space="preserve">/</w:t>
      </w:r>
      <w:r>
        <w:rPr>
          <w:smallCaps w:val="1"/>
          <w:caps w:val="0"/>
        </w:rPr>
        <w:t xml:space="preserve">Langheinrich Marc</w:t>
      </w:r>
      <w:r>
        <w:rPr/>
        <w:t xml:space="preserve">/</w:t>
      </w:r>
      <w:r>
        <w:rPr>
          <w:smallCaps w:val="1"/>
          <w:caps w:val="0"/>
        </w:rPr>
        <w:t xml:space="preserve">Pałka Przemysław</w:t>
      </w:r>
      <w:r>
        <w:rPr/>
        <w:t xml:space="preserve">/</w:t>
      </w:r>
      <w:r>
        <w:rPr>
          <w:smallCaps w:val="1"/>
          <w:caps w:val="0"/>
        </w:rPr>
        <w:t xml:space="preserve">Zihlmann Zaïra</w:t>
      </w:r>
      <w:r>
        <w:rPr/>
        <w:t xml:space="preserve">, A Framework to Determine How and Whether to Implement Automatically Processable Regulation, 2022, https://ssrn.com/abstract=4226090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iur. Zaïra Zihlmann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iur. Zaïra Zihlmann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