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Vagias Karavas</w:t>
      </w:r>
    </w:p>
    <w:p>
      <w:pPr>
        <w:spacing w:after="240" w:line="240" w:lineRule="atLeast"/>
      </w:pPr>
      <w:r>
        <w:t xml:space="preserve">ORCID: 0000-0002-2629-089X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Körperverfassungsrecht, Entwurf eines inklusiven Biomedizinrechts, Zürich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Digitale Grundrechte, Elemente einer Verfassung des Informationsflusses im Internet, Baden-Baden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Amstutz Marc</w:t>
      </w:r>
      <w:r>
        <w:rPr/>
        <w:t xml:space="preserve">/</w:t>
      </w:r>
      <w:r>
        <w:rPr>
          <w:smallCaps w:val="1"/>
          <w:caps w:val="0"/>
        </w:rPr>
        <w:t xml:space="preserve">Abegg Andreas</w:t>
      </w:r>
      <w:r>
        <w:rPr/>
        <w:t xml:space="preserve">/</w:t>
      </w:r>
      <w:r>
        <w:rPr>
          <w:smallCaps w:val="1"/>
          <w:caps w:val="0"/>
        </w:rPr>
        <w:t xml:space="preserve">Karavas Vagias</w:t>
      </w:r>
      <w:r>
        <w:rPr/>
        <w:t xml:space="preserve">, Soziales Vertragsrecht: Eine rechtsevolutorische Studie, Beiheft der Zeitschrift für Schweizerisches Recht, Basel 2006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Somatic Jurisprudence: Re-Drawing the Boundaries of the Human Body in Biomedicine, in: Pólemos Journal of Law, Literature and Culture 17/1/2023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Die Beste aller möglichen Welten: Gunther Teubners Theodizee, in: Zeitschrift für Rechtssoziologie 42/2/2022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Ermächtigung durch Technik? Zum Umgang mit Technikoptionen im liberal-demokratischen Rechtsstaat am Beispiel der Eizellkonservierung, in: Ancilla Iuris 2019, pp. 101–120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Das Parlament der Körperfragmente, Für eine Rechtsfassung des menschlichen Körpers in der Biomedizin, in: Zeitschrift für Rechtssoziologie 37/1/2017, pp. 112–132, https://doi.org/10.5281/zenodo.1247916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Das Computer-Grundrecht, Persönlichkeitsschutz unter informationstechnischen Bedingungen, in: Westend, Neue Zeitschrift für Sozialforschung 2/2010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The Force of Code: Law´s Transformation under Information-Technological Conditions, in: German Law Journal 10/4/2009, pp. 463–481, http://static1.squarespace.com/static/56330ad3e4b0733dcc0c8495/t/56b82d42746fb90712deac76/1454910787670/GLJ_Vol_10_No_04_Karavas.pdf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Abegg Andreas</w:t>
      </w:r>
      <w:r>
        <w:rPr/>
        <w:t xml:space="preserve">/</w:t>
      </w:r>
      <w:r>
        <w:rPr>
          <w:smallCaps w:val="1"/>
          <w:caps w:val="0"/>
        </w:rPr>
        <w:t xml:space="preserve">Amstutz Marc</w:t>
      </w:r>
      <w:r>
        <w:rPr/>
        <w:t xml:space="preserve">, Civil Society Constitutionalism: The Power of Contract Law, in: Indiana Journal of Global Legal Studies 14/2007, pp. 235–258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Amstutz Marc</w:t>
      </w:r>
      <w:r>
        <w:rPr/>
        <w:t xml:space="preserve">, Rechtsmutation: Zu Genese und Evolution des Rechts im transnationalen Raum, in: Rechtsgeschichte 2006, pp. 1–19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Review Essay – Some Remarks on the Constitutionalization of Cyberspace, in: German Law Journal 3/2002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«Doing Things with Words»: Zur performativen Kraft der Rechtssprache am Beispiel der Patentierung biotechnologischer Erfindungen unter Verwendung biologischen Materials menschlichen Ursprungs, in: Hürlimann-Kaup, Bettina/Jungo, Alexandra/Stöckli, Hubert/Emmenegger, Susan/Karuskopf, Frédéric (Eds.), Recht Suchen. Liber comitum für Jörg Schmid, Zürich 2024, pp. 195–204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Don’t ask, Don’t tell: Zum Stellenwert der informierten Einwilligung im Patentrecht, in: Müller, Karin et al. (Ed.), Festschrift ‘Walter Fellmann’, Bern 2021, pp. 677–690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Biomedical collective labour: politics, sovereign subjects and empowerment in biobank research, in: Jacob, Marie-Andrée/Kirkland, Anna (Eds.), Research handbook on socio-legal studies of medicine and health, Cheltenham / Northampton 2020, pp. 361–383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Umstrittene Embryonen: Zur Rechtstellung des Embryos in vitro, in: Saliger, Frank (Ed.), Rechtsstaatliches Strafrecht, Festschrift für Ulfrid Neumann zum 70. Geburtstag, Heidelberg 2017, pp. 181–198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Das Computer-Grundrecht: Persönlichkeitsschutz unter informationstechnischen Bedingungen, in: Stefan Keller/Stefan Wiprächtiger (Eds.), Recht zwischen Dogmatik und Theorie, Marc Amstutz zum 50. Geburtstag, Zürich/St. Gallen 2011, pp. 99–112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Governance of Virtual Worlds and the Quest for a Digital Constitution, in: Christoph Beat Graber/Mira Burri-Nenova (Eds.), Governance of Digital Game Environments and Cultural Diversity: Transdisciplinary Enquiries, Cheltenham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Grundrechtsschutz im Web 2.0: Ein Beitrag zur Verankerung des Grundrechtsschutzes in einer Epistemologie hybrider Assoziationen zwischen Mensch und Computer, in: Martin Eifert/Thomas Gross (Eds.), Das Internet zwischen egalitäter Teilhabe und ökonomischer Vermarktung, Frankfurt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Rechtssoziologie auf Probe: Zum Mehrwert rechtssoziologischer Forschung im Zeitalter der Digitalisierung, in: Jürg-Beat Ackermann/Felix Bommer (Eds.), Liber Amicorum, für Dr. Martin Vonplon zum 60. Geburtstag, Zürich 2009, pp. 193–202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Amstutz Marc</w:t>
      </w:r>
      <w:r>
        <w:rPr/>
        <w:t xml:space="preserve">, Weltrecht: Ein Derridasches Monster, in: Gralf-Peter Calliess/Andreas Fischer-Lescano/Dan Wielsch/Peter Zumbansen (Eds.), Soziologische Jurisprudenz, Festschrift für Gunther Teubner zum 65. Geburtstag, Berlin 2009, pp. 645–672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Amstutz Marc</w:t>
      </w:r>
      <w:r>
        <w:rPr/>
        <w:t xml:space="preserve">/</w:t>
      </w:r>
      <w:r>
        <w:rPr>
          <w:smallCaps w:val="1"/>
          <w:caps w:val="0"/>
        </w:rPr>
        <w:t xml:space="preserve">Teubner Gunther</w:t>
      </w:r>
      <w:r>
        <w:rPr/>
        <w:t xml:space="preserve">, What is Legal Analysis of Contractual Networks?, in: Marc Amstutz/Gunther Teubner (Eds.), Networks: Legal Issues of Multilateral Co-operation, Oxford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Polykontexturales Recht: Eine Einführung, in: Gunther Teubner (Ed.), Polykontexturales Recht: Das Verfassungsrecht der Zivilgesellschaft, Athen-Thessaloniki 2005, pp. 1–14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Teubner Gunther</w:t>
      </w:r>
      <w:r>
        <w:rPr/>
        <w:t xml:space="preserve">, www.CompanyNameSucks.com: Drittwirkung der Grundrechte gegenüber ‘Privaten’ im autonomen Recht des Internet?, in: Wolfgang-Hoffmann Riem/Karl-Heinz Ladeur (Eds.), Innovationsoffene Regulierung des Internets, Baden-Baden 2003, pp. 249–272, https://www.jura.uni-frankfurt.de/42828759/companynamesucks.pdf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Kommentar zu Art. 17 HFG, Stämpflis Handkommentar, in: Rütsche, Bernhard (Ed.), Humanforschungsgesetz (HFG), Bern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Kommentierung zu Art. 9 HFG, Stämpflis Handkommentar, in: Bernhard Rütsche (Ed.), Humanforschungsgesetz (HFG), Bern 2015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Conference Proceedings/Paper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Vagias Karavas</w:t>
      </w:r>
      <w:r>
        <w:rPr/>
        <w:t xml:space="preserve">/</w:t>
      </w:r>
      <w:r>
        <w:rPr>
          <w:smallCaps w:val="1"/>
          <w:caps w:val="0"/>
        </w:rPr>
        <w:t xml:space="preserve">Malte Gruber</w:t>
      </w:r>
      <w:r>
        <w:rPr/>
        <w:t xml:space="preserve">/</w:t>
      </w:r>
      <w:r>
        <w:rPr>
          <w:smallCaps w:val="1"/>
          <w:caps w:val="0"/>
        </w:rPr>
        <w:t xml:space="preserve">Gunther Teubner</w:t>
      </w:r>
      <w:r>
        <w:rPr/>
        <w:t xml:space="preserve"> (Eds.), Society’s Constitutions, Berlin 2024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Die Standardisierungsprozesse in der EG und in der Bundesrepublik Deutschland als Netzwerk privater-öffentlicher Akteure, Masterarbeit, Fachbereich Rechtswissenschaft der Johann Wolfgang Goethe-Universität, Germany 1999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Lang Alexander</w:t>
      </w:r>
      <w:r>
        <w:rPr/>
        <w:t xml:space="preserve">/</w:t>
      </w:r>
      <w:r>
        <w:rPr>
          <w:smallCaps w:val="1"/>
          <w:caps w:val="0"/>
        </w:rPr>
        <w:t xml:space="preserve">Gschmeidler Brigitte</w:t>
      </w:r>
      <w:r>
        <w:rPr/>
        <w:t xml:space="preserve">/</w:t>
      </w:r>
      <w:r>
        <w:rPr>
          <w:smallCaps w:val="1"/>
          <w:caps w:val="0"/>
        </w:rPr>
        <w:t xml:space="preserve">Gruber Malte-Christian</w:t>
      </w:r>
      <w:r>
        <w:rPr/>
        <w:t xml:space="preserve">/</w:t>
      </w:r>
      <w:r>
        <w:rPr>
          <w:smallCaps w:val="1"/>
          <w:caps w:val="0"/>
        </w:rPr>
        <w:t xml:space="preserve">Wuketich Milena</w:t>
      </w:r>
      <w:r>
        <w:rPr/>
        <w:t xml:space="preserve">/</w:t>
      </w:r>
      <w:r>
        <w:rPr>
          <w:smallCaps w:val="1"/>
          <w:caps w:val="0"/>
        </w:rPr>
        <w:t xml:space="preserve">Kinz Elena</w:t>
      </w:r>
      <w:r>
        <w:rPr/>
        <w:t xml:space="preserve">/</w:t>
      </w: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Winkler Florian</w:t>
      </w:r>
      <w:r>
        <w:rPr/>
        <w:t xml:space="preserve">/</w:t>
      </w:r>
      <w:r>
        <w:rPr>
          <w:smallCaps w:val="1"/>
          <w:caps w:val="0"/>
        </w:rPr>
        <w:t xml:space="preserve">Schumann Simone</w:t>
      </w:r>
      <w:r>
        <w:rPr/>
        <w:t xml:space="preserve">/</w:t>
      </w:r>
      <w:r>
        <w:rPr>
          <w:smallCaps w:val="1"/>
          <w:caps w:val="0"/>
        </w:rPr>
        <w:t xml:space="preserve">Burri Nina Leonie</w:t>
      </w:r>
      <w:r>
        <w:rPr/>
        <w:t xml:space="preserve">/</w:t>
      </w:r>
      <w:r>
        <w:rPr>
          <w:smallCaps w:val="1"/>
          <w:caps w:val="0"/>
        </w:rPr>
        <w:t xml:space="preserve">Griessler Erich</w:t>
      </w:r>
      <w:r>
        <w:rPr/>
        <w:t xml:space="preserve">/</w:t>
      </w:r>
      <w:r>
        <w:rPr>
          <w:smallCaps w:val="1"/>
          <w:caps w:val="0"/>
        </w:rPr>
        <w:t xml:space="preserve">Gruber Malte</w:t>
      </w:r>
      <w:r>
        <w:rPr/>
        <w:t xml:space="preserve">, Neue Anwendungen der DNA-Analyse: Chancen und Risiken, Interdisziplinäre Technikfolgenabschätzung, TA-SWISS Publikationsreihe, 74, Zürich 01/08/2020, https://doi.org/10.5281/zenodo.4474472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Vagias Karavas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Vagias Karavas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