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Sascha Cédric Briner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Borer, A., Briner, S., &amp; Von Zedtwitz, C. (2018). Country-Update Switerzland: Insurance. </w:t>
      </w:r>
      <w:r>
        <w:rPr>
          <w:i w:val="1"/>
          <w:iCs w:val="1"/>
        </w:rPr>
        <w:t xml:space="preserve">Thomson Reuters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Briner, S. (2017). Die Revolution des Brokergeschäfts und deren Folgen. </w:t>
      </w:r>
      <w:r>
        <w:rPr>
          <w:i w:val="1"/>
          <w:iCs w:val="1"/>
        </w:rPr>
        <w:t xml:space="preserve">HAVE</w:t>
      </w:r>
      <w:r>
        <w:rPr/>
        <w:t xml:space="preserve">, 372–380.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Briner, S., &amp; Zeier Röschmann, A. (2022). Risikomanagement / Internes Kontrollsystem. In Theus Simoni, Fabiana, Hauser, Isabel &amp; Bärtschi, Harald (Eds.), </w:t>
      </w:r>
      <w:r>
        <w:rPr>
          <w:i w:val="1"/>
          <w:iCs w:val="1"/>
        </w:rPr>
        <w:t xml:space="preserve">Handbuch Schweizer Genossenschaftsrecht: Musterdokumente, Checklisten und Übersichten für die Praxis</w:t>
      </w:r>
      <w:r>
        <w:rPr/>
        <w:t xml:space="preserve">. Basel: Helbing Lichtenhahn Verlag.</w:t>
      </w:r>
    </w:p>
    <w:p>
      <w:pPr>
        <w:spacing w:after="240" w:line="240" w:lineRule="atLeast"/>
      </w:pPr>
      <w:r>
        <w:rPr/>
        <w:t xml:space="preserve">Briner, S., &amp; Zeier Röschmann, A. (2019). Risikomanagement / Internes Kontrollsystem. In Theus Simoni, Fabiana, Hauser, Isabel &amp; Bärtschi, Harald (Eds.), </w:t>
      </w:r>
      <w:r>
        <w:rPr>
          <w:i w:val="1"/>
          <w:iCs w:val="1"/>
        </w:rPr>
        <w:t xml:space="preserve">Handbuch Schweizer GmbH-Recht: Musterdokumente, Checklisten und Übersichten für die Praxis</w:t>
      </w:r>
      <w:r>
        <w:rPr/>
        <w:t xml:space="preserve">. Basel: Helbing Lichtenhahn Verlag.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Sascha Cédric Briner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Sascha Cédric Briner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