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des. Sahra Lobina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Lobina, S. (2017). Eine grosse Leichtsinnigkeit? Als Frau in Männerkleidern im Solddienst.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(2), 151–167.</w:t>
      </w:r>
    </w:p>
    <w:p>
      <w:pPr>
        <w:spacing w:after="240" w:line="240" w:lineRule="atLeast"/>
      </w:pPr>
      <w:r>
        <w:rPr/>
        <w:t xml:space="preserve">Lobina, S. (2016). Die Primadonna und ihr Baron auf Schlössli Wartegg: Minnie Hauk (1851-1929) und Ernst von Hesse-Wartegg (vermutlich 1851-1918) in Luzern. </w:t>
      </w:r>
      <w:r>
        <w:rPr>
          <w:i w:val="1"/>
          <w:iCs w:val="1"/>
        </w:rPr>
        <w:t xml:space="preserve">Geschichte, Kultur, Gesellschaft : Jahrbuch / Historische Gesellschaft Luzern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71–76.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des. Sahra Lobina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des. Sahra Lobina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