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iur. Nicolas Diebold</w:t>
      </w:r>
    </w:p>
    <w:p>
      <w:pPr>
        <w:spacing w:after="240" w:line="240" w:lineRule="atLeast"/>
      </w:pPr>
      <w:r>
        <w:t xml:space="preserve">ORCID: 0009-0001-1131-5011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Wettbewerbsrecht und Marktregulierung, Band 1: Grundlagen, Zürich/Genf 2023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Ludin Martin</w:t>
      </w:r>
      <w:r>
        <w:rPr/>
        <w:t xml:space="preserve">, Öffentliche Beschaffungen von Strom im teilliberalisierten Stromversorgungsmarkt, Schriften zum Energierecht, Vol. 8, Zürich 15/03/2018, https://doi.org/10.5281/zenodo.7997375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Freizügigkeit im Mehrebenensystem, Eine Rechtsvergleichung der Liberalisierungsprinzipien im Binnenmarkt-, Aussenwirtschafts- und Europarecht, Zürich/Baden-Baden 2016, https://doi.org/10.5281/zenodo.10160391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Rutz Samuel</w:t>
      </w:r>
      <w:r>
        <w:rPr/>
        <w:t xml:space="preserve">/</w:t>
      </w:r>
      <w:r>
        <w:rPr>
          <w:smallCaps w:val="1"/>
          <w:caps w:val="0"/>
        </w:rPr>
        <w:t xml:space="preserve">Schmid Lukas D.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Von alten und neuen Pfründen, Wie die Kantone Monopole stützen statt Märkte fördern, Zürich 2014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Non-discrimination in International Trade in Services, ‘Likeness’ in WTO/GATS, Cambridge International Trade and Economic Law, 2nd ed., Cambridge 2010, https://doi.org/https://doi.org/10.1017/CBO9780511675843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Textbook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Cottier Thomas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Kölliker Isabel</w:t>
      </w:r>
      <w:r>
        <w:rPr/>
        <w:t xml:space="preserve">/</w:t>
      </w:r>
      <w:r>
        <w:rPr>
          <w:smallCaps w:val="1"/>
          <w:caps w:val="0"/>
        </w:rPr>
        <w:t xml:space="preserve">Liechti-McKee Rachel</w:t>
      </w:r>
      <w:r>
        <w:rPr/>
        <w:t xml:space="preserve">/</w:t>
      </w:r>
      <w:r>
        <w:rPr>
          <w:smallCaps w:val="1"/>
          <w:caps w:val="0"/>
        </w:rPr>
        <w:t xml:space="preserve">Hoesch Matthias</w:t>
      </w:r>
      <w:r>
        <w:rPr/>
        <w:t xml:space="preserve">/</w:t>
      </w:r>
      <w:r>
        <w:rPr>
          <w:smallCaps w:val="1"/>
          <w:caps w:val="0"/>
        </w:rPr>
        <w:t xml:space="preserve">Payosova Tetyana</w:t>
      </w:r>
      <w:r>
        <w:rPr/>
        <w:t xml:space="preserve">/</w:t>
      </w:r>
      <w:r>
        <w:rPr>
          <w:smallCaps w:val="1"/>
          <w:caps w:val="0"/>
        </w:rPr>
        <w:t xml:space="preserve">Wüger Daniel</w:t>
      </w:r>
      <w:r>
        <w:rPr/>
        <w:t xml:space="preserve">, Die Rechtsbeziehungen der Schweiz und der Europäischen Union, Stämpflis juristische Lehrbücher SjL, 1st ed., Bern 2014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Bruch David</w:t>
      </w:r>
      <w:r>
        <w:rPr/>
        <w:t xml:space="preserve">/</w:t>
      </w:r>
      <w:r>
        <w:rPr>
          <w:smallCaps w:val="1"/>
          <w:caps w:val="0"/>
        </w:rPr>
        <w:t xml:space="preserve">Zirlick Beat</w:t>
      </w:r>
      <w:r>
        <w:rPr/>
        <w:t xml:space="preserve">/</w:t>
      </w:r>
      <w:r>
        <w:rPr>
          <w:smallCaps w:val="1"/>
          <w:caps w:val="0"/>
        </w:rPr>
        <w:t xml:space="preserve">Brunner Christoph</w:t>
      </w:r>
      <w:r>
        <w:rPr/>
        <w:t xml:space="preserve">, Die Beurteilung horizontaler Preisabreden nach dem revidierten Kartellgesetz, in: Schweizerische Zeitschrift für Kartell- und Wettbewerbsrecht SZKW 3/2026, pp. 152–170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Zemp Sarina Lucia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Rechtsetzung im Bereich der Wirtschaftsregulierung, in: Schweizerische Zeitschrift für Kartell- und Wettbewerbsrecht SZKW 2/2026, pp. 116–123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Das Parlament wünscht ‘viel Glück bei der Auslegung’ des revidierten Kartellgesetzes, in: Schweizerische Zeitschrift für Kartell- und Wettbewerbsrecht SZKW 1/2026, pp. 1–4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Übertragung öffentlicher Aufgaben auf Private: Begriff und Ausschreibung, in: recht (Zeitschrift für juristische Weiterbildung und Praxis) 4/2025, pp. 210–231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Ausschreibung des Zugangs zu geschlossenen Märkten der Kantone, in: Schweizerische Zeitschrift für Kartell- und Wettbewerbsrecht 2/2025, pp. 85–92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30 Jahre Wettbewerbsschutz – Anlass für eine ganzheitliche Betrachtung, in: Schweizerische Zeitschrift für Kartell- und Wettbewerbsrecht 1/2025, pp. 1–3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Zirlick Beat</w:t>
      </w:r>
      <w:r>
        <w:rPr/>
        <w:t xml:space="preserve">, Bundesrat leitet Reform der Wettbewerbsbehörden ein, in: Schweizerische Zeitschrift für Kartellrecht 2/2024, pp. 89–94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Auf der Suche nach einem gemeinsamen Verständnis zur Schädigungstheorie, in: Schweizerische Zeitschrift für Kartellrecht 1/2024, pp. 2–3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Schluss mit der Polemik, Ein Plädoyer für eine Versachlichung des Diskurses im Kartellrecht, in: Schweizerische Zeitschrift für Kartellrecht 2/2023, p. 98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Die Regulierung der anwaltlichen Rechtsberatung ausserhalb des ‘Anwaltsmonopols’, in: AJP/PJA 11/2023, pp. 1247–1284, https://doi.org/10.5281/zenodo.12160277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Neue Missbrauchskontrolle für relativ marktmächtige Unternehmen, in: Recht relevant 6/2021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Kartellrechtliche Compliance im Vertrieb, in: Recht relevant 2/2021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Magnin Josianne</w:t>
      </w:r>
      <w:r>
        <w:rPr/>
        <w:t xml:space="preserve">, Wettbewerbsrechtliche Disziplinierung des Staats als Marktteilnehmer, in: Zeitschrift für Schweizerisches Recht (ZSR) 2/2021, pp. 205–220, https://doi.org/10.5281/zenodo.10256574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Tanner Anne-Cathrine</w:t>
      </w:r>
      <w:r>
        <w:rPr/>
        <w:t xml:space="preserve">, WTO-Recht und regionale Integration, in: Swiss Review of International and European Law (SRIEL) 2/2019, pp. 173–201, https://doi.org/10.5281/zenodo.3801692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Schäke Cyrill</w:t>
      </w:r>
      <w:r>
        <w:rPr/>
        <w:t xml:space="preserve">, Wirkungsanalyse von Kernbeschränkungen im Kartellrecht – eine Auslegeordnung, in: recht (Zeitschrift für juristische Weiterbildung und Praxis) 4/2018, pp. 228–245, https://doi.org/10.5281/zenodo.7682091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Barth Frédéric</w:t>
      </w:r>
      <w:r>
        <w:rPr/>
        <w:t xml:space="preserve">, Das Tessiner Handwerksgesetz im Lichte des Freizügigkeitsrechts, in: Zeitschrift für Europarecht (EuZ) 6/2017, pp. 142–162, https://doi.org/10.5281/zenodo.7940171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Geografische Preisdiskriminierung, Wettbewerbsrechtliche Grenzen und Grenzen des Wettbewerbsrechts, in: recht (Zeitschrift für juristische Weiterbildung und Praxis) 3/2017, pp. 157–179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Eingriffsdogmatik der Binnenmarktfreiheit, in: recht (Zeitschrift für juristische Weiterbildung und Praxis) 4/2015, pp. 209–225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Die öffentliche Ausschreibung als Marktzugangsinstrument, in: Zeitschrift für Schweizerisches Recht (ZSR) 2/2014, pp. 219–252, https://doi.org/10.5281/zenodo.8083239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Die Beschwerdelegitimation der WEKO im öffentlichen Beschaffungswesen, in: Schweizerische Juristen-Zeitung (SJZ) 109/2013, pp. 177–188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Gerichtliche Sachverständige als hoheitlich tätige Organe?, in: Aktuelle Juristische Praxis (AJP) 8/2012, pp. 1162–1169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Standards of Non-discrimination in International Economic Law, in: International &amp; Comparative Law Quarterly (ICLQ) 4/2011, pp. 830–865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Assessing Competition in International Economic Law, A Comparison of ‘Market Definition’ and ‘Comparability’, in: Legal Issues of Economic Integration (LIEI) 2/2011, pp. 115–141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Das Herkunftsprinzip im Binnenmarktgesetz zur Dienstleistungs- und Niederlassungsfreiheit, in: Schweizerisches Zentralblatt für Staats- und Verwaltungsrecht (ZBI) 3/2010, pp. 129–152, https://doi.org/10.5281/zenodo.8322256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Die Verfassungskonformität der Einfuhrbestimmungen für Koscherfleisch, in: Jusletter 28. April 2008/2008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Die Durchsetzung von WTO-Recht durch Schweizer Unternehmen, in: Aktuelle Juristische Praxis (AJP) 12/2008, pp. 1525–1552, https://doi.org/10.5281/zenodo.7928752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The Morals and Order Exceptions in WTO Law: Balancing the toothless Tiger and the undermining Mole, in: Journal of International Economic Law (JIEL) 11/2008, pp. 43–74, https://doi.org/https://doi.org/10.1093/jiel/jgm036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Maeder Stefan</w:t>
      </w:r>
      <w:r>
        <w:rPr/>
        <w:t xml:space="preserve">, Staatliche Sachverhaltsaufklärung im Verwaltungs- und Strafrecht, Ein Essay zum Spannungsverhältnis von Mitwirkungspflicht und Mitwirkungsverweigerungsrecht, in: De Rossa, Federica/Bovey, Grégory/Hurni, Christoph (Eds.), 150 anni Tribunale federale / 150 ans Tribunal fédéral / 150 Jahre Bundesgericht, Miscellanea / Mélanges / Festschrift, Bern 2025, pp. 165–188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Diem Leandra</w:t>
      </w:r>
      <w:r>
        <w:rPr/>
        <w:t xml:space="preserve">, Zerstückelungsverbot und Additionspflicht, in: Zufferey, Jean-Baptiste/Beyeler, Martin/Scherler, Stefan (Eds.), Aktuelles Vergaberecht 2022, Zürich 2022, pp. 195–268, https://lexcampus.swisslex.ch/doc/bookdoc/808dba2e-e2e0-4e5c-a642-586232ba1e41/source/hitlist-search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Keller Alwin</w:t>
      </w:r>
      <w:r>
        <w:rPr/>
        <w:t xml:space="preserve">/</w:t>
      </w:r>
      <w:r>
        <w:rPr>
          <w:smallCaps w:val="1"/>
          <w:caps w:val="0"/>
        </w:rPr>
        <w:t xml:space="preserve">Kreis Manuel</w:t>
      </w:r>
      <w:r>
        <w:rPr/>
        <w:t xml:space="preserve">/</w:t>
      </w:r>
      <w:r>
        <w:rPr>
          <w:smallCaps w:val="1"/>
          <w:caps w:val="0"/>
        </w:rPr>
        <w:t xml:space="preserve">Tanner Anne-Cathrine</w:t>
      </w:r>
      <w:r>
        <w:rPr/>
        <w:t xml:space="preserve">, Aufsichtsinstrumente im revidierten Beschaffungsrecht, in: Zufferey, Jean-Baptiste/Beyeler, Martin/Scherler, Stefan (Eds.), Aktuelles Vergaberecht 2020, Zürich/Basel/Genf 2020, pp. 315–349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Ludin Martin</w:t>
      </w:r>
      <w:r>
        <w:rPr/>
        <w:t xml:space="preserve">, Die Quasi-in-house-Ausnahme, in: Boillet, Véronique/Favre, Anne-Christine/Martenet, Vincent (Eds.), Le droit public en mouvement, Mélanges en l’honneur du Professeur Etienne Poltier, Genf/Zürich/Basel 2020, pp. 549–567, https://doi.org/10.5281/zenodo.4321289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Die Verwirklichung des Binnenmarktes Schweiz, Schweizerisches Bundesverwaltungsrecht, in: Cottier, Thomas/Oesch, Matthias (Eds.), Allgemeines Aussenwirtschafts- und Binnenmarktrecht, Vol. 9, Basel 2020, pp. 465–535, https://doi.org/10.5281/zenodo.7682089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Schäke Cyrill</w:t>
      </w:r>
      <w:r>
        <w:rPr/>
        <w:t xml:space="preserve">, De minimis Exceptions for Hard-Core Restrictions in Swiss Competition Law, in: Mathis, Klaus/Tor, Avishalom (Eds.), New Developments in Competition Law and Economics, Cham 2019, pp. 107–122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Keller Alwin</w:t>
      </w:r>
      <w:r>
        <w:rPr/>
        <w:t xml:space="preserve">, Instrumente der laufenden Marktaufsicht, in: Häner, Isabelle/Waldmann, Bernhard (Eds.), 7. Forum für Verwaltungsrecht, Staatliche Aufsicht über die Wirtschaft und ihre Akteure, Bern 2019, pp. 47–75, https://doi.org/10.5281/zenodo.3403656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Kreis Manuel</w:t>
      </w:r>
      <w:r>
        <w:rPr/>
        <w:t xml:space="preserve">, Kartell- und Stromversorgungsrecht – Dogmatik zur Abgrenzung zwei verwandter Rechtsgebiete, Schriften zum Energierecht, in: Heselhaus, Sebastian/Schreiber, Markus (Eds.), Energierechtstagung 2019, Vol. 12, Zürich/St. Gallen 2019, pp. 39–70, https://doi.org/10.5281/zenodo.10118903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Ludin Martin</w:t>
      </w:r>
      <w:r>
        <w:rPr/>
        <w:t xml:space="preserve">, Das Cassis de Dijon-Prinzip in Praxis und Politik, in: Epiney, Astrid/Hehemann, Lena (Eds.), Schweizerisches Jahrbuch für Europarecht 2016/2017, Bern 2017, pp. 371–394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Vergaberecht und Wettbewerb, 8. Tagung zum Wettbewerbsrecht, in: Hochreutener, Inge/Stoffel, Walter/Amstutz, Marc (Eds.), Grundlegende Fragen, Bern 2017, pp. 1–23, https://doi.org/10.5281/zenodo.1256010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Rütsche Bernhard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Geschlossene Märkte und Zugang zu geschlossenen Märkten, Kantonsmonitoring, in: Samuel Rutz/Lukas Schmid (Eds.), Von alten und neuen Pfründen, Wie die Kantone Monopole stützen statt Märkte fördern, Vol. 6, Zürich 2014, pp. 83–107, https://www.unilu.ch/fileadmin/fakultaeten/rf/ruetsche/dok/141723_avenir-suisse_br_de-internet.pdf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Delimatsis Panagiotis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Molinuevo Martin</w:t>
      </w:r>
      <w:r>
        <w:rPr/>
        <w:t xml:space="preserve">/</w:t>
      </w:r>
      <w:r>
        <w:rPr>
          <w:smallCaps w:val="1"/>
          <w:caps w:val="0"/>
        </w:rPr>
        <w:t xml:space="preserve">Panizzon Marion</w:t>
      </w:r>
      <w:r>
        <w:rPr/>
        <w:t xml:space="preserve">/</w:t>
      </w:r>
      <w:r>
        <w:rPr>
          <w:smallCaps w:val="1"/>
          <w:caps w:val="0"/>
        </w:rPr>
        <w:t xml:space="preserve">Sauvé Pierre</w:t>
      </w:r>
      <w:r>
        <w:rPr/>
        <w:t xml:space="preserve">, Developing trade rules for services: a case of fragmented coherence?, in: Cottier, Thomas/Delimatsis, Panagiotis (Eds.), The Prospects of International Trade Regulation, From Fragmentation to Coherence, Cambridge 2011, pp. 245–283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Celli Alessandro</w:t>
      </w:r>
      <w:r>
        <w:rPr/>
        <w:t xml:space="preserve">/</w:t>
      </w:r>
      <w:r>
        <w:rPr>
          <w:smallCaps w:val="1"/>
          <w:caps w:val="0"/>
        </w:rPr>
        <w:t xml:space="preserve">Wenger Boris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The Public Competition Enforcement Review - Chapter Switzerland, in: Shaun Goodman (Ed.), The Public Competition Enforcement Review 3rd ed., London 2011, pp. 457–467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Celli Alessandro</w:t>
      </w:r>
      <w:r>
        <w:rPr/>
        <w:t xml:space="preserve">/</w:t>
      </w:r>
      <w:r>
        <w:rPr>
          <w:smallCaps w:val="1"/>
          <w:caps w:val="0"/>
        </w:rPr>
        <w:t xml:space="preserve">Wenger Boris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The Public Competition Enforcement Review - Chapter Switzerland, in: Shaun Goodman (Ed.), The Public Competition Enforcement Review 2nd ed., London 2010, pp. 404–414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Cottier Thomas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Warenverkehr und Freizügigkeit in der Rechtsprechung des Bundesgerichts zu den Bilateralen Abkommen, Zur Anwendung und Auslegung von nachvollzogenem Recht und Staatsverträgen unterschiedlicher Generationen, in: Astrid Epiney/Nina Gammenthaler (Eds.), Jahrbuch für Europarecht 2008/2009, Bern 2009, pp. 237–264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for Commentary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Beyeler Martin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Art. 81 Cst. ‘Travaux publics’, in: Martenet, Vincent/Dubey Jacques (Eds.), Commentaire Romand - Constitution fédérale, 2021, pp. 1773–1785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Ludin Martin</w:t>
      </w:r>
      <w:r>
        <w:rPr/>
        <w:t xml:space="preserve">/</w:t>
      </w:r>
      <w:r>
        <w:rPr>
          <w:smallCaps w:val="1"/>
          <w:caps w:val="0"/>
        </w:rPr>
        <w:t xml:space="preserve">Beyeler Martin</w:t>
      </w:r>
      <w:r>
        <w:rPr/>
        <w:t xml:space="preserve">, Art. 81a Cst. ‘Transports publics’, in: Martenet, Vincent/Dubey Jacques (Eds.), Commentaire Romand - Constitution fédérale, 2021, pp. 1785–1793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Beyeler Martin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Art. 82 Cst. ‘Circulation routière’, in: Martenet, Vincent/Dubey Jacques (Eds.), Commentaire Romand - Constitution fédérale, 2021, pp. 1793–1811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Beyeler Martin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Art. 88 Cst. ‘Chemins et sentiers pédestres et voies cyclables’, in: Martenet, Vincent/Dubey Jacques (Eds.), Commentaire Romand - Constitution fédérale, 2021, pp. 1881–1902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Cottier Thomas</w:t>
      </w:r>
      <w:r>
        <w:rPr/>
        <w:t xml:space="preserve">/</w:t>
      </w:r>
      <w:r>
        <w:rPr>
          <w:smallCaps w:val="1"/>
          <w:caps w:val="0"/>
        </w:rPr>
        <w:t xml:space="preserve">Delimatsis Panagiotis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Commentary to Article XIV GATS (general exceptions), in: Wolfrum, Rüdiger/Stoll, Peter-Tobias/Feinäugle, Clemens (Eds.), WTO - Trade in Services: Max Planck Commentaries on World Trade Law Vol. 6, Leiden 2008, pp. 287–328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Case Notes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Zubler Clio</w:t>
      </w:r>
      <w:r>
        <w:rPr/>
        <w:t xml:space="preserve">/</w:t>
      </w:r>
      <w:r>
        <w:rPr>
          <w:smallCaps w:val="1"/>
          <w:caps w:val="0"/>
        </w:rPr>
        <w:t xml:space="preserve">Imfeld Tabea</w:t>
      </w:r>
      <w:r>
        <w:rPr/>
        <w:t xml:space="preserve">, Neue Entscheide und Urteile zum Schweizer Wettbewerbsrecht im zweiten Quartal 2026, 2026, pp. 195–204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Covid-19-Härtefallmassnahmen, Besprechung der Urteile 2C_1017/2022 und 2C_294/2024, in: Schweizerisches Zentralblatt für Staats- und Verwaltungsrecht (ZBI) 6/2025, pp. 330–347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Magnin Josianne</w:t>
      </w:r>
      <w:r>
        <w:rPr/>
        <w:t xml:space="preserve">, Neue Entscheide und Urteile zum Schweizer Wettbewerbsrecht im 2. Quartal 2025, RPW 2025/1 und weitere aktuelle Praxis, in: Schweizerische Zeitschrift für Kartell- und Wettbewerbsrecht 3/2025, pp. 147–162, https://www.szkw-online.ch/de/artikel/2813-0723-2025-0031/neue-entscheide-und-urteile-zum-schweizer-wettbewerbsrecht-im-2-quartal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Bestattungsmonopol des Kantons Zürich, Besprechung des Urteils 2C_234/2016 vom 24. Mai 2017 (zur Publ. vorgesehen), in: Schweizerisches Zentralblatt für Staats- und Verwaltungsrecht (ZBI) 118/2017, pp. 545–553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Interkantonaler Marktzugang für Zahnprothetiker, in: Recht und Politik des Wettbewerbs (RPW) 4/2013, p. 522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Der Bau und Betrieb eines Parkhauses auf öffentlichem Grund untersteht nicht dem öffentlichen Beschaffungsrecht, in: Digitaler Rechtsprechungs-Kommentar, Push-Service Entscheide 04/09/2013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Schaffter Gaël</w:t>
      </w:r>
      <w:r>
        <w:rPr/>
        <w:t xml:space="preserve">, Die Niederlassungsfreiheit für juristische Personen am Beispiel einer Zahnarztklinik, in: Recht und Politik des Wettbewerbs (RPW) 3/2012, pp. 526–529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Interkantonaler Marktzugang für fachlich selbstständige Rettungssanitäter, in: Recht und Politik des Wettbewerbs (RPW) 3/2012, pp. 530–539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Anerkennung einer Unterrichtsberechtigung im schweizerischen Binnenmarkt, Kommentar zum Urteil 2C_772/2009 v. 31.08.2009, in: Digitaler Rechtsprechungs-Kommentar, Push-Service Entscheide 10/11/2010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Registration of a patent licence requires the owner’s consent, in: International Law Office 06/04/2010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Die Niederlassungsfreiheit im Binnenmarktgesetz, Kommentar zu BGE 135 II 12, in: Digitaler Rechtsprechungs-Kommentar, Push-Service Entscheide 01/05/2009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Zollkontingente von Koscherfleisch im Lichte der Religionsfreiheit und des Diskriminierungsverbots, in: Digitaler Rechtsprechungs-Kommentar, Push-Service Entscheide 28/02/2008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Investitionsschutzabkommen bieten Sicherheit für Investoren, Die Volkswirtschaft 4/2025, https://dievolkswirtschaft.ch/de/2025/03/investitionsschutzabkommen-bieten-sicherheit-fuer-investoren/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Jäggi Simon</w:t>
      </w:r>
      <w:r>
        <w:rPr/>
        <w:t xml:space="preserve">/</w:t>
      </w:r>
      <w:r>
        <w:rPr>
          <w:smallCaps w:val="1"/>
          <w:caps w:val="0"/>
        </w:rPr>
        <w:t xml:space="preserve">Diebold Nicolas</w:t>
      </w:r>
      <w:r>
        <w:rPr/>
        <w:t xml:space="preserve">, Wettbewerbspolitik im Gegenwind, Die Volkswirtschaft 10/2019, pp. 30–34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Stüssi Frank</w:t>
      </w:r>
      <w:r>
        <w:rPr/>
        <w:t xml:space="preserve">, Die WEKO wacht bei öffentlichen Beschaffungen über den Wettbewerb, Die Volkswirtschaft 7/24/06/2015, pp. 24–27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Wie koscher ist das Einfuhrregime für Koscherfleisch?, Handelszeitung 21/05/2008, p. 21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Gutachten «Beschaffungsrechtliche Sanktionsliste», Bern 2021, https://doi.org/10.5281/zenodo.8290095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Rütsche Bernhard</w:t>
      </w:r>
      <w:r>
        <w:rPr/>
        <w:t xml:space="preserve">, Rechtsgutachten ‘Verhältnis zwischen Personenbeförderungs- und Wettbewerbsrecht mit Blick auf den Ticketvertrieb im öffentlichen Verkehr’, 15/04/2020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National Treatment: ‘comparability’, in: Nadakavukaren Schefer, Krista/Cottier, Thomas (Eds.), Elgar Encyclopedia of International Economic Law, Expanded Edition, Cheltenham/Northampton 2024, https://doi.org/https://doi.org/10.4337/9781800882324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National Treatment: ‘different functions in goods and services trade’, in: Nadakavukaren Schefer, Krista/Cottier, Thomas (Eds.), Elgar Encyclopedia of International Economic Law, Expanded Edition, Cheltenham/Northampton 2024, https://doi.org/https://doi.org/10.4337/9781800882324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National Treatment: ‘services’, in: Nadakavukaren Schefer, Krista/Cottier, Thomas (Eds.), Elgar Encyclopedia of International Economic Law, Expanded Edition, Cheltenham/Northampton 2024, https://doi.org/https://doi.org/10.4337/9781800882324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National Treatment: ‘comparability’, in: Cottier, Thomas/Nadakavukaren Schefer, Krista (Eds.), Elgar Encyclopedia of International Economic Law, Cheltenham, Northampton 2017, p. 185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National Treatment: ‘different functions in goods and services trade’, in: Cottier, Thomas/Nadakavukaren Schefer, Krista (Eds.), Elgar Encyclopedia of International Economic Law, Cheltenham, Northampton 2017, p. 184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, National Treatment: ‘services’, in: Cottier, Thomas/Nadakavukaren Schefer, Krista (Eds.), Elgar Encyclopedia of International Economic Law, Cheltenham, Northampton 2017, p. 188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iur. Nicolas Diebold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iur. Nicolas Diebold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