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Mario Francesco Carlo Scaglioni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Mosku, N., Heesen, P., Christen, S., Scaglioni, M. F. C., Bode, B., Studer, G., … on, behalf. (2023). The Sarcoma-Specific Instrument to Longitudinally Assess Health-Related Outcomes of the Routine Care Cycle. </w:t>
      </w:r>
      <w:r>
        <w:rPr>
          <w:i w:val="1"/>
          <w:iCs w:val="1"/>
        </w:rPr>
        <w:t xml:space="preserve">Diagnostics</w:t>
      </w:r>
      <w:r>
        <w:rPr/>
        <w:t xml:space="preserve">. https://doi.org/10.3390/diagnostics13061206</w:t>
      </w:r>
    </w:p>
    <w:p>
      <w:pPr>
        <w:spacing w:after="240" w:line="240" w:lineRule="atLeast"/>
      </w:pPr>
      <w:r>
        <w:rPr/>
        <w:t xml:space="preserve">Pastor, T., Beeres, F., Kastner, P., Gehweiler, D., Migliorini, F., Nebelung, S., … Knobe, M. (2022). Anatomical analysis of different helical plate designs for distal femoral fracture fixation. </w:t>
      </w:r>
      <w:r>
        <w:rPr>
          <w:i w:val="1"/>
          <w:iCs w:val="1"/>
        </w:rPr>
        <w:t xml:space="preserve">Injury</w:t>
      </w:r>
      <w:r>
        <w:rPr/>
        <w:t xml:space="preserve">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Mario Francesco Carlo Scaglioni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Mario Francesco Carlo Scaglioni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