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Manuela Pastore-Wapp</w:t>
      </w:r>
    </w:p>
    <w:p>
      <w:pPr>
        <w:spacing w:after="240" w:line="240" w:lineRule="atLeast"/>
      </w:pPr>
      <w:r>
        <w:t xml:space="preserve">ORCID: 0000-0003-2603-8915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Vanessa, V., Werner, K., Andrea, F., John, M., Pastore-Wapp, M., Georg, K., … Bruno, W. (2026). Correction: Escitalopram promotes recovery from hand paresis in cortical sensori-motor stroke: a randomized, double-blind, placebo-controlled longitudinal study. </w:t>
      </w:r>
      <w:r>
        <w:rPr>
          <w:i w:val="1"/>
          <w:iCs w:val="1"/>
        </w:rPr>
        <w:t xml:space="preserve">Journal of NeuroEngineering and Rehabilitation</w:t>
      </w:r>
      <w:r>
        <w:rPr/>
        <w:t xml:space="preserve">. https://doi.org/10.1186/s12984-026-01964-1</w:t>
      </w:r>
    </w:p>
    <w:p>
      <w:pPr>
        <w:spacing w:after="240" w:line="240" w:lineRule="atLeast"/>
      </w:pPr>
      <w:r>
        <w:rPr/>
        <w:t xml:space="preserve">Vanessa, V., Werner, K., Andrea, F., John, M., Pastore-Wapp, M., Georg, K., … Bruno, W. (2026). Escitalopram promotes recovery from hand paresis in cortical sensori-motor stroke: a randomized, double-blind, placebo-controlled longitudinal study. </w:t>
      </w:r>
      <w:r>
        <w:rPr>
          <w:i w:val="1"/>
          <w:iCs w:val="1"/>
        </w:rPr>
        <w:t xml:space="preserve">Journal of NeuroEngineering and Rehabilitation</w:t>
      </w:r>
      <w:r>
        <w:rPr/>
        <w:t xml:space="preserve">. https://doi.org/10.1186/s12984-026-01888-w</w:t>
      </w:r>
    </w:p>
    <w:p>
      <w:pPr>
        <w:spacing w:after="240" w:line="240" w:lineRule="atLeast"/>
      </w:pPr>
      <w:r>
        <w:rPr/>
        <w:t xml:space="preserve">Hürlimann, M., Pastore-Wapp, M., &amp; Vanbellingen, T. (2026). Improved cognitive flexibility after high-intensity interval training (HIIT) in individuals with Parkinson’s disease: a pilot randomized controlled trial. </w:t>
      </w:r>
      <w:r>
        <w:rPr>
          <w:i w:val="1"/>
          <w:iCs w:val="1"/>
        </w:rPr>
        <w:t xml:space="preserve">Frontiers in Rehabilitation Sciences</w:t>
      </w:r>
      <w:r>
        <w:rPr/>
        <w:t xml:space="preserve">. https://doi.org/10.3389/fresc.2026.1835182</w:t>
      </w:r>
    </w:p>
    <w:p>
      <w:pPr>
        <w:spacing w:after="240" w:line="240" w:lineRule="atLeast"/>
      </w:pPr>
      <w:r>
        <w:rPr/>
        <w:t xml:space="preserve">Vanbellingen, T., Van de Winckel, A., Pastore-Wapp, M., Veerbeek, J., Cazzoli, D., &amp; Nyffeler, T. (2026). Poor upper limb performance despite the absence of notable upper limb motor impairment in adults with acute stroke - the influence of cognitive deficits. </w:t>
      </w:r>
      <w:r>
        <w:rPr>
          <w:i w:val="1"/>
          <w:iCs w:val="1"/>
        </w:rPr>
        <w:t xml:space="preserve">Neuropsychological rehabilitation</w:t>
      </w:r>
      <w:r>
        <w:rPr/>
        <w:t xml:space="preserve">. https://doi.org/10.1080/09602011.2025.2541096</w:t>
      </w:r>
    </w:p>
    <w:p>
      <w:pPr>
        <w:spacing w:after="240" w:line="240" w:lineRule="atLeast"/>
      </w:pPr>
      <w:r>
        <w:rPr/>
        <w:t xml:space="preserve">Claire, K., Jian, C., Richard, B., Belinda, S., Sieper, J., Sebastian, G., … Joseph, Y. (2026). Predicting Outcome After Newborn Stroke: A Lesion Network Mapping Study Leveraging Large-Scale Data. </w:t>
      </w:r>
      <w:r>
        <w:rPr>
          <w:i w:val="1"/>
          <w:iCs w:val="1"/>
        </w:rPr>
        <w:t xml:space="preserve">Stroke</w:t>
      </w:r>
      <w:r>
        <w:rPr/>
        <w:t xml:space="preserve">. https://doi.org/10.1161/STROKEAHA.125.052941</w:t>
      </w:r>
    </w:p>
    <w:p>
      <w:pPr>
        <w:spacing w:after="240" w:line="240" w:lineRule="atLeast"/>
      </w:pPr>
      <w:r>
        <w:rPr/>
        <w:t xml:space="preserve">Jehle, M., Pastore-Wapp, M., Cazzoli, D., Nyffeler, T., &amp; Kaufmann, B. C. (2026). Toward clinical implementation of free visual exploration in neglect diagnostics: Reference data and psychometric properties across adulthood. </w:t>
      </w:r>
      <w:r>
        <w:rPr>
          <w:i w:val="1"/>
          <w:iCs w:val="1"/>
        </w:rPr>
        <w:t xml:space="preserve">Neuropsychological Rehabilitation</w:t>
      </w:r>
      <w:r>
        <w:rPr/>
        <w:t xml:space="preserve">. https://doi.org/10.1080/09602011.2026.2687603</w:t>
      </w:r>
    </w:p>
    <w:p>
      <w:pPr>
        <w:spacing w:after="240" w:line="240" w:lineRule="atLeast"/>
      </w:pPr>
      <w:r>
        <w:rPr/>
        <w:t xml:space="preserve">Krummenacher, N., Greber, S., Pastore-Wapp, M., Single, M., Bohlhalter, S., Nef, T., &amp; Vanbellingen, T. (2025). A Usability Pilot Study of a Sensor-Guided Interactive System for Dexterity Training in Parkinson’s Disease. </w:t>
      </w:r>
      <w:r>
        <w:rPr>
          <w:i w:val="1"/>
          <w:iCs w:val="1"/>
        </w:rPr>
        <w:t xml:space="preserve">Sensors</w:t>
      </w:r>
      <w:r>
        <w:rPr/>
        <w:t xml:space="preserve">. https://doi.org/10.3390/s25041051</w:t>
      </w:r>
    </w:p>
    <w:p>
      <w:pPr>
        <w:spacing w:after="240" w:line="240" w:lineRule="atLeast"/>
      </w:pPr>
      <w:r>
        <w:rPr/>
        <w:t xml:space="preserve">Werner, K., John, M., Vanessa, V., Pastore-Wapp, M., Georg, K., Roland, W., &amp; Bruno, W. (2025). Exploring imitation of within hand prehensile object manipulation using fMRI and graph theory analysis. </w:t>
      </w:r>
      <w:r>
        <w:rPr>
          <w:i w:val="1"/>
          <w:iCs w:val="1"/>
        </w:rPr>
        <w:t xml:space="preserve">Scientific Reports</w:t>
      </w:r>
      <w:r>
        <w:rPr/>
        <w:t xml:space="preserve">. https://doi.org/10.1038/s41598-025-86157-x</w:t>
      </w:r>
    </w:p>
    <w:p>
      <w:pPr>
        <w:spacing w:after="240" w:line="240" w:lineRule="atLeast"/>
      </w:pPr>
      <w:r>
        <w:rPr/>
        <w:t xml:space="preserve">Kaufmann, B. C., Pastore-Wapp, M., Paolo, B., Geiser, N., Nyffeler, T., &amp; Cazzoli, D. (2024). Severity-dependent interhemispheric white matter connectivity predicts post-stroke neglect recovery. </w:t>
      </w:r>
      <w:r>
        <w:rPr>
          <w:i w:val="1"/>
          <w:iCs w:val="1"/>
        </w:rPr>
        <w:t xml:space="preserve">The Journal of Neuroscience</w:t>
      </w:r>
      <w:r>
        <w:rPr/>
        <w:t xml:space="preserve">. https://doi.org/10.1523/jneurosci.1311-23.2024</w:t>
      </w:r>
    </w:p>
    <w:p>
      <w:pPr>
        <w:spacing w:after="240" w:line="240" w:lineRule="atLeast"/>
      </w:pPr>
      <w:r>
        <w:rPr/>
        <w:t xml:space="preserve">Kaufmann, B. C., Cazzoli, D., Pastore-Wapp, M., Vanbellingen, T., Pflugshaupt, T., Bauer, D. C., … Nyffeler, T. (2023). Joint impact on attention, alertness and inhibition of lesions at a frontal white matter crossroad. </w:t>
      </w:r>
      <w:r>
        <w:rPr>
          <w:i w:val="1"/>
          <w:iCs w:val="1"/>
        </w:rPr>
        <w:t xml:space="preserve">Brain</w:t>
      </w:r>
      <w:r>
        <w:rPr/>
        <w:t xml:space="preserve">, </w:t>
      </w:r>
      <w:r>
        <w:rPr>
          <w:i w:val="1"/>
          <w:iCs w:val="1"/>
        </w:rPr>
        <w:t xml:space="preserve">146</w:t>
      </w:r>
      <w:r>
        <w:rPr/>
        <w:t xml:space="preserve"> (4), 1467-1482 ff. https://doi.org/10.1093/brain/awac359</w:t>
      </w:r>
    </w:p>
    <w:p>
      <w:pPr>
        <w:spacing w:after="240" w:line="240" w:lineRule="atLeast"/>
      </w:pPr>
      <w:r>
        <w:rPr/>
        <w:t xml:space="preserve">Pastore-Wapp, M., Kaufmann, B. C., Nyffeler, T., Wapp, S., Bohlhalter, S., &amp; Vanbellingen, T. (2023). Feasibility of a combined intermittent theta-burst stimulation and video game-based dexterity training in Parkinson’s disease. </w:t>
      </w:r>
      <w:r>
        <w:rPr>
          <w:i w:val="1"/>
          <w:iCs w:val="1"/>
        </w:rPr>
        <w:t xml:space="preserve">Journal of NeuroEngineering and Rehabilitation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(1). https://doi.org/10.1186/s12984-023-01123-w</w:t>
      </w:r>
    </w:p>
    <w:p>
      <w:pPr>
        <w:spacing w:after="240" w:line="240" w:lineRule="atLeast"/>
      </w:pPr>
      <w:r>
        <w:rPr/>
        <w:t xml:space="preserve">Myla, W., Just, H., Rolf, A., Pastore-Wapp, M., Erwin, W., Bohlhalter, S., … Vanbellingen, T. (2023). An Overview of Wearable Haptic Technologies and Their Performance in Virtual Object Exploration. </w:t>
      </w:r>
      <w:r>
        <w:rPr>
          <w:i w:val="1"/>
          <w:iCs w:val="1"/>
        </w:rPr>
        <w:t xml:space="preserve">Sensors</w:t>
      </w:r>
      <w:r>
        <w:rPr/>
        <w:t xml:space="preserve">. https://doi.org/10.3390/s23031563</w:t>
      </w:r>
    </w:p>
    <w:p>
      <w:pPr>
        <w:spacing w:after="240" w:line="240" w:lineRule="atLeast"/>
      </w:pPr>
      <w:r>
        <w:rPr/>
        <w:t xml:space="preserve">Muraca, M., Jian, C., Sieper, J., Pastore-Wapp, M., Nedelina, S., Sebastian, G., … Joseph, Y.-M. (2023). Association of Acute Infarct Topography With Development of Cerebral Palsy and Neurologic Impairment in Neonates With Stroke. </w:t>
      </w:r>
      <w:r>
        <w:rPr>
          <w:i w:val="1"/>
          <w:iCs w:val="1"/>
        </w:rPr>
        <w:t xml:space="preserve">Neurology</w:t>
      </w:r>
      <w:r>
        <w:rPr/>
        <w:t xml:space="preserve">. https://doi.org/10.1212/wnl.0000000000207705</w:t>
      </w:r>
    </w:p>
    <w:p>
      <w:pPr>
        <w:spacing w:after="240" w:line="240" w:lineRule="atLeast"/>
      </w:pPr>
      <w:r>
        <w:rPr/>
        <w:t xml:space="preserve">Cazzoli, D., Pastore-Wapp, M., Gyurkó, D., Vanbellingen, T., Lehnick, D., Pflugshaupt, T., … Bohlhalter, S. (2022). Improved gesturing in left-hemispheric stroke by right inferior parietal theta burst stimulation. </w:t>
      </w:r>
      <w:r>
        <w:rPr>
          <w:i w:val="1"/>
          <w:iCs w:val="1"/>
        </w:rPr>
        <w:t xml:space="preserve">Frontiers in Neuroscience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, 998729 ff. https://doi.org/10.3389/fnins.2022.998729</w:t>
      </w:r>
    </w:p>
    <w:p>
      <w:pPr>
        <w:spacing w:after="240" w:line="240" w:lineRule="atLeast"/>
      </w:pPr>
      <w:r>
        <w:rPr/>
        <w:t xml:space="preserve">van Beek, J., Lehnick, D., Pastore-Wapp, M., Wapp, S., Kamm, C., Nef, T., &amp; Vanbellingen, T. (2022). Tablet app-based dexterity training in multiple sclerosis (TAD-MS): a randomized controlled trial. </w:t>
      </w:r>
      <w:r>
        <w:rPr>
          <w:i w:val="1"/>
          <w:iCs w:val="1"/>
        </w:rPr>
        <w:t xml:space="preserve">Disability and rehabilitation. Assistive technology</w:t>
      </w:r>
      <w:r>
        <w:rPr/>
        <w:t xml:space="preserve">, 1–11. https://doi.org/10.1080/17483107.2022.2131915</w:t>
      </w:r>
    </w:p>
    <w:p>
      <w:pPr>
        <w:spacing w:after="240" w:line="240" w:lineRule="atLeast"/>
      </w:pPr>
      <w:r>
        <w:rPr/>
        <w:t xml:space="preserve">Lea, S., Samuel, K., Pastore-Wapp, M., Nef, T., Mast, F., &amp; Vanbellingen, T. (2022). Usability of Two New Interactive Game Sensor-Based Hand Training Devices in Parkinson’s Disease. </w:t>
      </w:r>
      <w:r>
        <w:rPr>
          <w:i w:val="1"/>
          <w:iCs w:val="1"/>
        </w:rPr>
        <w:t xml:space="preserve">Sensors</w:t>
      </w:r>
      <w:r>
        <w:rPr/>
        <w:t xml:space="preserve">. https://doi.org/10.3390/s22166278</w:t>
      </w:r>
    </w:p>
    <w:p>
      <w:pPr>
        <w:spacing w:after="240" w:line="240" w:lineRule="atLeast"/>
      </w:pPr>
      <w:r>
        <w:rPr/>
        <w:t xml:space="preserve">Pastore-Wapp, M., Lehnick, D., Nef, T., Bohlhalter, S., &amp; Vanbellingen, T. (2021). Combining Repetitive Transcranial Magnetic Stimulation and Video Game-Based Training to Improve Dexterity in Parkinson`s Disease: Study Protocol of a Randomized Controlled Trial. </w:t>
      </w:r>
      <w:r>
        <w:rPr>
          <w:i w:val="1"/>
          <w:iCs w:val="1"/>
        </w:rPr>
        <w:t xml:space="preserve">Frontiers in Rehabilitation Sciences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1–8. https://doi.org/10.5281/zenodo.5957863</w:t>
      </w:r>
    </w:p>
    <w:p>
      <w:pPr>
        <w:spacing w:after="240" w:line="240" w:lineRule="atLeast"/>
      </w:pPr>
      <w:r>
        <w:rPr/>
        <w:t xml:space="preserve">Pastore-Wapp, M., Nyffeler, T., Nef, T., Bohlhalter, S., &amp; Vanbellingen, T. (2021). Non-invasive brain stimulation in limb praxis and apraxia: A scoping review in healthy subjects and patients with stroke. </w:t>
      </w:r>
      <w:r>
        <w:rPr>
          <w:i w:val="1"/>
          <w:iCs w:val="1"/>
        </w:rPr>
        <w:t xml:space="preserve">Cortex</w:t>
      </w:r>
      <w:r>
        <w:rPr/>
        <w:t xml:space="preserve">. https://doi.org/10.1016/j.cortex.2021.02.006</w:t>
      </w:r>
    </w:p>
    <w:p>
      <w:pPr>
        <w:spacing w:after="240" w:line="240" w:lineRule="atLeast"/>
      </w:pPr>
      <w:r>
        <w:rPr/>
        <w:t xml:space="preserve">Nadja, S., Christian, W., Roland, W., Harald, B., Eike, P., Jennifer, C., … Nedelina, S. (2020). The Influence of Various Cerebral and Extracerebral Pathologies on Apparent Diffusion Coefficient Values in the Fetal Brain. </w:t>
      </w:r>
      <w:r>
        <w:rPr>
          <w:i w:val="1"/>
          <w:iCs w:val="1"/>
        </w:rPr>
        <w:t xml:space="preserve">Journal of Neuroimaging</w:t>
      </w:r>
      <w:r>
        <w:rPr/>
        <w:t xml:space="preserve">. https://doi.org/10.1111/jon.12727</w:t>
      </w:r>
    </w:p>
    <w:p>
      <w:pPr>
        <w:spacing w:after="240" w:line="240" w:lineRule="atLeast"/>
      </w:pPr>
      <w:r>
        <w:rPr/>
        <w:t xml:space="preserve">Eugenio, A., John, M., Pastore-Wapp, M., Werner, K., Roland, W., &amp; Bruno, W. (2019). Early prediction of long-term tactile object recognition performance after sensorimotor stroke. </w:t>
      </w:r>
      <w:r>
        <w:rPr>
          <w:i w:val="1"/>
          <w:iCs w:val="1"/>
        </w:rPr>
        <w:t xml:space="preserve">Cortex</w:t>
      </w:r>
      <w:r>
        <w:rPr/>
        <w:t xml:space="preserve">, </w:t>
      </w:r>
      <w:r>
        <w:rPr>
          <w:i w:val="1"/>
          <w:iCs w:val="1"/>
        </w:rPr>
        <w:t xml:space="preserve">115</w:t>
      </w:r>
      <w:r>
        <w:rPr/>
        <w:t xml:space="preserve">, 264-279 ff. https://doi.org/10.1016/j.cortex.2019.01.018</w:t>
      </w:r>
    </w:p>
    <w:p>
      <w:pPr>
        <w:spacing w:after="240" w:line="240" w:lineRule="atLeast"/>
      </w:pPr>
      <w:r>
        <w:rPr/>
        <w:t xml:space="preserve">Kaufmann, B. C., Pastore-Wapp, M., Lübeck, M., Koenig-Bruhin, M., Bohlhalter, S., Vanbellingen, T., … Nyffeler, T. (2019). cTBS over contralesional homologue areas deteriorates speech output in isolated apraxia of speech after stroke. </w:t>
      </w:r>
      <w:r>
        <w:rPr>
          <w:i w:val="1"/>
          <w:iCs w:val="1"/>
        </w:rPr>
        <w:t xml:space="preserve">Brain Stimulation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, 1069–1071. https://doi.org/10.1016/j.brs.2019.03.024</w:t>
      </w:r>
    </w:p>
    <w:p>
      <w:pPr>
        <w:spacing w:after="240" w:line="240" w:lineRule="atLeast"/>
      </w:pPr>
      <w:r>
        <w:rPr/>
        <w:t xml:space="preserve">Galovic, M., Nenadic, L., Pastore-Wapp, M., Zbinden, M., Vos, S., Mueller, M., … Bruno, W. (2017). Diverging lesion and connectivity patterns influence early and late swallowing recovery after hemispheric stroke. </w:t>
      </w:r>
      <w:r>
        <w:rPr>
          <w:i w:val="1"/>
          <w:iCs w:val="1"/>
        </w:rPr>
        <w:t xml:space="preserve">Human Brain Mapping</w:t>
      </w:r>
      <w:r>
        <w:rPr/>
        <w:t xml:space="preserve">. https://doi.org/10.1002/hbm.23511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Manuela Pastore-Wapp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Manuela Pastore-Wapp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