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Leandra Diem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Diebold, N., &amp; Diem, L. (2022). Zerstückelungsverbot und Additionspflicht. In Zufferey, Jean-Baptiste, Beyeler, Martin &amp; Scherler, Stefan (Eds.), </w:t>
      </w:r>
      <w:r>
        <w:rPr>
          <w:i w:val="1"/>
          <w:iCs w:val="1"/>
        </w:rPr>
        <w:t xml:space="preserve">Aktuelles Vergaberecht 2022</w:t>
      </w:r>
      <w:r>
        <w:rPr/>
        <w:t xml:space="preserve"> (pp. 195–268). Zürich: Schulthess. Retrieved from https://lexcampus.swisslex.ch/doc/bookdoc/808dba2e-e2e0-4e5c-a642-586232ba1e41/source/hitlist-search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Imfeld, T., &amp; Diem, L. (2025). Die Ausschreibungspflicht als (überwindbares) Hindernis zur Erfüllung von öffentlichen Aufträgen in Projektallianzen. In WiRe (Ed.), </w:t>
      </w:r>
      <w:r>
        <w:rPr>
          <w:i w:val="1"/>
          <w:iCs w:val="1"/>
        </w:rPr>
        <w:t xml:space="preserve">UNILU WiRe-Nachwuchstagung Tagungsband: WiRe-Nachwuchstagung</w:t>
      </w:r>
      <w:r>
        <w:rPr/>
        <w:t xml:space="preserve">. Zürich: DIKE.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Leandra Diem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Leandra Diem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