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PhD Laura Petersen</w:t>
      </w:r>
    </w:p>
    <w:p>
      <w:pPr>
        <w:spacing w:after="240" w:line="240" w:lineRule="atLeast"/>
      </w:pPr>
      <w:r>
        <w:t xml:space="preserve">ORCID: 0000-0003-3176-9851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Petersen, L. (2023). The Power of an Image: How cartoons championed and criticised the Constitution in the Weimar Republic. </w:t>
      </w:r>
      <w:r>
        <w:rPr>
          <w:i w:val="1"/>
          <w:iCs w:val="1"/>
        </w:rPr>
        <w:t xml:space="preserve">Bulletin of the Swiss Academy of Humanities and Social Sciences</w:t>
      </w:r>
      <w:r>
        <w:rPr/>
        <w:t xml:space="preserve">, </w:t>
      </w:r>
      <w:r>
        <w:rPr>
          <w:i w:val="1"/>
          <w:iCs w:val="1"/>
        </w:rPr>
        <w:t xml:space="preserve">27</w:t>
      </w:r>
      <w:r>
        <w:rPr/>
        <w:t xml:space="preserve"> (2), 48–52. https://doi.org/https://doi.org/10.5281/zenodo.8289054</w:t>
      </w:r>
    </w:p>
    <w:p>
      <w:pPr>
        <w:spacing w:after="240" w:line="240" w:lineRule="atLeast"/>
      </w:pPr>
      <w:r>
        <w:rPr/>
        <w:t xml:space="preserve">Howe, S., &amp; Petersen, L. (2022). Foreword: Law and Art in the Aftermath. </w:t>
      </w:r>
      <w:r>
        <w:rPr>
          <w:i w:val="1"/>
          <w:iCs w:val="1"/>
        </w:rPr>
        <w:t xml:space="preserve">Polémos. Journal of Law, Literature and Culture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 (2), 199–204. https://doi.org/10.1515/pol-2022-2013</w:t>
      </w:r>
    </w:p>
    <w:p>
      <w:pPr>
        <w:spacing w:after="240" w:line="240" w:lineRule="atLeast"/>
      </w:pPr>
      <w:r>
        <w:rPr/>
        <w:t xml:space="preserve">Petersen, L. (2021). An Ethos of Restitution: Walter Schwarz and the Gloss. </w:t>
      </w:r>
      <w:r>
        <w:rPr>
          <w:i w:val="1"/>
          <w:iCs w:val="1"/>
        </w:rPr>
        <w:t xml:space="preserve">Rapoport Center Working Paper Series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. Retrieved from https://law.utexas.edu/wp-content/uploads/sites/31/2021/10/an-ethos-of-restitution_final-1.pdf</w:t>
      </w:r>
    </w:p>
    <w:p>
      <w:pPr>
        <w:spacing w:after="240" w:line="240" w:lineRule="atLeast"/>
      </w:pPr>
      <w:r>
        <w:rPr/>
        <w:t xml:space="preserve">Goldenfein, J., Petersen, L., &amp; Trabsky, M. (2013). Curating a Museum of Legal Accidents. </w:t>
      </w:r>
      <w:r>
        <w:rPr>
          <w:i w:val="1"/>
          <w:iCs w:val="1"/>
        </w:rPr>
        <w:t xml:space="preserve">Griffith Law Review</w:t>
      </w:r>
      <w:r>
        <w:rPr/>
        <w:t xml:space="preserve">, </w:t>
      </w:r>
      <w:r>
        <w:rPr>
          <w:i w:val="1"/>
          <w:iCs w:val="1"/>
        </w:rPr>
        <w:t xml:space="preserve">22</w:t>
      </w:r>
      <w:r>
        <w:rPr/>
        <w:t xml:space="preserve"> (1), 1–7. https://doi.org/https://doi.org/10.1080/10383441.2013.10854764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Maget Dominicé, A., &amp; Petersen, L. (2023). Das Bourbaki-Panorama Luzern und die Erinnerungskultur in der öffentlichen Verwaltung in der Schweiz. In Davydov, Dimitrij (Ed.), </w:t>
      </w:r>
      <w:r>
        <w:rPr>
          <w:i w:val="1"/>
          <w:iCs w:val="1"/>
        </w:rPr>
        <w:t xml:space="preserve">Erinnerungskultur in der Verwaltungspraxis</w:t>
      </w:r>
      <w:r>
        <w:rPr/>
        <w:t xml:space="preserve"> (pp. 417–439). Weisbaden: Springer. https://doi.org/10.1007/978-3-658-41939-4_19</w:t>
      </w:r>
    </w:p>
    <w:p>
      <w:pPr>
        <w:spacing w:after="240" w:line="240" w:lineRule="atLeast"/>
      </w:pPr>
      <w:r>
        <w:rPr/>
        <w:t xml:space="preserve">Petersen, L., &amp; Reifarth, G. (2022). Behind the Words of Die Buribunken: Translators’ Comments. In Bikundo, Edwin &amp; Tranter, Kieran (Eds.), </w:t>
      </w:r>
      <w:r>
        <w:rPr>
          <w:i w:val="1"/>
          <w:iCs w:val="1"/>
        </w:rPr>
        <w:t xml:space="preserve">Carl Schmitt and The Buribunks: Technology, Law, Literature</w:t>
      </w:r>
      <w:r>
        <w:rPr/>
        <w:t xml:space="preserve"> (pp. 29–37). Abingdon: Routledge. https://doi.org/10.4324_9781003091066-4</w:t>
      </w:r>
    </w:p>
    <w:p>
      <w:pPr>
        <w:spacing w:after="240" w:line="240" w:lineRule="atLeast"/>
      </w:pPr>
      <w:r>
        <w:rPr/>
        <w:t xml:space="preserve">Petersen, L. (2021). Foot Notes. Reflections on Method and Form. In Chalmers, Shane &amp; Pahuja, Sundhya (Eds.), </w:t>
      </w:r>
      <w:r>
        <w:rPr>
          <w:i w:val="1"/>
          <w:iCs w:val="1"/>
        </w:rPr>
        <w:t xml:space="preserve">Routledge Handbook of International Law and the Humanities</w:t>
      </w:r>
      <w:r>
        <w:rPr/>
        <w:t xml:space="preserve"> (pp. 138–147). Abingdon: Routledge.</w:t>
      </w:r>
    </w:p>
    <w:p>
      <w:pPr>
        <w:spacing w:after="240" w:line="240" w:lineRule="atLeast"/>
      </w:pPr>
      <w:r>
        <w:rPr/>
        <w:t xml:space="preserve">Petersen, L. (2011). We are story animals’: Aesopics in Holocaust Literature by Art Spiegelman and Yann Martel. In Reifarth, Gert &amp; Morrissey Philip (Eds.), </w:t>
      </w:r>
      <w:r>
        <w:rPr>
          <w:i w:val="1"/>
          <w:iCs w:val="1"/>
        </w:rPr>
        <w:t xml:space="preserve">Aesopic Voices: Re-framing Truth through Concealed Ways of Presentation in the 20th and 21st Centuries</w:t>
      </w:r>
      <w:r>
        <w:rPr/>
        <w:t xml:space="preserve"> (pp. 174–207). Newcastle upon Tyne: Cambridge Scholars Publishing.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Edited Book</w:t>
      </w:r>
    </w:p>
    <w:p>
      <w:pPr>
        <w:spacing w:after="240" w:line="240" w:lineRule="atLeast"/>
      </w:pPr>
      <w:r>
        <w:rPr/>
        <w:t xml:space="preserve">Howe, Steven, &amp; Petersen, Laura (Eds.). (2022). </w:t>
      </w:r>
      <w:r>
        <w:rPr>
          <w:i w:val="1"/>
          <w:iCs w:val="1"/>
        </w:rPr>
        <w:t xml:space="preserve">Law and Art in the Aftermath: Special Focus Section of Polemos: Journal of Law, Literature and Culture</w:t>
      </w:r>
      <w:r>
        <w:rPr/>
        <w:t xml:space="preserve"> (Vol. 16.2). Berlin: De Gruyter.</w:t>
      </w:r>
    </w:p>
    <w:p>
      <w:pPr>
        <w:spacing w:after="240" w:line="240" w:lineRule="atLeast"/>
      </w:pPr>
      <w:r>
        <w:rPr/>
        <w:t xml:space="preserve">Goldenfein, Jake, Petersen, Laura, &amp; Trabsky, Marc (Eds.). (2013). </w:t>
      </w:r>
      <w:r>
        <w:rPr>
          <w:i w:val="1"/>
          <w:iCs w:val="1"/>
        </w:rPr>
        <w:t xml:space="preserve">Law and Its Accidents: Symposium in Griffith Law Review</w:t>
      </w:r>
      <w:r>
        <w:rPr/>
        <w:t xml:space="preserve">. Taylor &amp; Francis: Taylor &amp; Francis. Retrieved from https://www.tandfonline.com/toc/rlaw20/22/1?nav=tocList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Review, Editorial, Letter in a Journal</w:t>
      </w:r>
    </w:p>
    <w:p>
      <w:pPr>
        <w:spacing w:after="240" w:line="240" w:lineRule="atLeast"/>
      </w:pPr>
      <w:r>
        <w:rPr/>
        <w:t xml:space="preserve">Petersen, L. (2024). Book Review: The Culture of the Case: Madness, Crime, and Justice in Modern German Art by Frederic J. Schwartz. </w:t>
      </w:r>
      <w:r>
        <w:rPr>
          <w:i w:val="1"/>
          <w:iCs w:val="1"/>
        </w:rPr>
        <w:t xml:space="preserve">Law, Culture and the Humanities</w:t>
      </w:r>
      <w:r>
        <w:rPr/>
        <w:t xml:space="preserve">, </w:t>
      </w:r>
      <w:r>
        <w:rPr>
          <w:i w:val="1"/>
          <w:iCs w:val="1"/>
        </w:rPr>
        <w:t xml:space="preserve">20</w:t>
      </w:r>
      <w:r>
        <w:rPr/>
        <w:t xml:space="preserve"> (3), 635–637. https://doi.org/10.1177/17438721241248946</w:t>
      </w:r>
    </w:p>
    <w:p>
      <w:pPr>
        <w:spacing w:after="240" w:line="240" w:lineRule="atLeast"/>
      </w:pPr>
      <w:r>
        <w:rPr/>
        <w:t xml:space="preserve">Petersen, L. (2023). Encounters with Books from Other Disciplines: Jennifer L. Allen, Sustainable Utopias: The Art and Politics of Hope in Germany (Harvard University Press, 2022). </w:t>
      </w:r>
      <w:r>
        <w:rPr>
          <w:i w:val="1"/>
          <w:iCs w:val="1"/>
        </w:rPr>
        <w:t xml:space="preserve">International Journal of Law in Context</w:t>
      </w:r>
      <w:r>
        <w:rPr/>
        <w:t xml:space="preserve">, </w:t>
      </w:r>
      <w:r>
        <w:rPr>
          <w:i w:val="1"/>
          <w:iCs w:val="1"/>
        </w:rPr>
        <w:t xml:space="preserve">19</w:t>
      </w:r>
      <w:r>
        <w:rPr/>
        <w:t xml:space="preserve"> (3), 427–430. https://doi.org/10.1017/S1744552323000150</w:t>
      </w:r>
    </w:p>
    <w:p>
      <w:pPr>
        <w:spacing w:after="240" w:line="240" w:lineRule="atLeast"/>
      </w:pPr>
      <w:r>
        <w:rPr/>
        <w:t xml:space="preserve">Petersen, L. (2022). Review: Lisa Stuckey, Forensische Verfahren in den zeitgenössichen Künste (De Gruyter, 2022). </w:t>
      </w:r>
      <w:r>
        <w:rPr>
          <w:i w:val="1"/>
          <w:iCs w:val="1"/>
        </w:rPr>
        <w:t xml:space="preserve">Kritische Justiz</w:t>
      </w:r>
      <w:r>
        <w:rPr/>
        <w:t xml:space="preserve">, </w:t>
      </w:r>
      <w:r>
        <w:rPr>
          <w:i w:val="1"/>
          <w:iCs w:val="1"/>
        </w:rPr>
        <w:t xml:space="preserve">55</w:t>
      </w:r>
      <w:r>
        <w:rPr/>
        <w:t xml:space="preserve"> (4), 528–531. Retrieved from https://www.nomos-elibrary.de/10.5771/0023-4834-2022-4/kj-kritische-justiz-jahrgang-55-2022-heft-4?page=1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Translation</w:t>
      </w:r>
    </w:p>
    <w:p>
      <w:pPr>
        <w:spacing w:after="240" w:line="240" w:lineRule="atLeast"/>
      </w:pPr>
      <w:r>
        <w:rPr/>
        <w:t xml:space="preserve">Reifarth, G., &amp; Petersen, L. (2022). </w:t>
      </w:r>
      <w:r>
        <w:rPr>
          <w:i w:val="1"/>
          <w:iCs w:val="1"/>
        </w:rPr>
        <w:t xml:space="preserve">The Buribunks</w:t>
      </w:r>
      <w:r>
        <w:rPr/>
        <w:t xml:space="preserve"> (Carl Schmitt and The Buribunks: Technology, Law, Literature). (Bikundo, Edwin &amp; Tranter, Kieran, Eds., Reifarth, Gert &amp; Petersen Laura, Trans.) (pp. 12–28). Routledge. Retrieved from https://www.taylorfrancis.com/chapters/edit/10.4324/9781003091066-3/buribunks-carl-schmitt-gert-reifarth-laura-petersen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Online Media: Blog, Forum, Newsgroup, Website</w:t>
      </w:r>
    </w:p>
    <w:p>
      <w:pPr>
        <w:spacing w:after="240" w:line="240" w:lineRule="atLeast"/>
      </w:pPr>
      <w:r>
        <w:rPr/>
        <w:t xml:space="preserve">Petersen, L. (2023). </w:t>
      </w:r>
      <w:r>
        <w:rPr>
          <w:i w:val="1"/>
          <w:iCs w:val="1"/>
        </w:rPr>
        <w:t xml:space="preserve">Staying in Shape: Writing, Questions, Method</w:t>
      </w:r>
      <w:r>
        <w:rPr/>
        <w:t xml:space="preserve">. Retrieved from https://criticallegalthinking.com/2023/01/25/staying-in-shape-writing-questions-method/</w:t>
      </w:r>
    </w:p>
    <w:p>
      <w:pPr>
        <w:spacing w:after="240" w:line="240" w:lineRule="atLeast"/>
      </w:pPr>
      <w:r>
        <w:rPr/>
        <w:t xml:space="preserve">Petersen, L. (2016). </w:t>
      </w:r>
      <w:r>
        <w:rPr>
          <w:i w:val="1"/>
          <w:iCs w:val="1"/>
        </w:rPr>
        <w:t xml:space="preserve">A Brief Note on Form</w:t>
      </w:r>
      <w:r>
        <w:rPr/>
        <w:t xml:space="preserve">. Retrieved from https://www.lawlithum.org/a-brief-note-on-form/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PhD Laura Petersen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PhD Laura Petersen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