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Franziska Bächler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Bächler, F. (2012). </w:t>
      </w:r>
      <w:r>
        <w:rPr>
          <w:i w:val="1"/>
          <w:iCs w:val="1"/>
        </w:rPr>
        <w:t xml:space="preserve">Vergütungen von Verwaltungsräten und Geschäftsleitungsmitgliedern in Banken</w:t>
      </w:r>
      <w:r>
        <w:rPr/>
        <w:t xml:space="preserve"> (Zürcher Studien zum Privatrecht, 246). Zürich: Schulthess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van Kolfschooten, H., Hattab, G., Bächler, F., &amp; Stefanini, G. (2026). Artificial intelligence in the EU Safe Hearts Plan: prediction alone is not enough. </w:t>
      </w:r>
      <w:r>
        <w:rPr>
          <w:i w:val="1"/>
          <w:iCs w:val="1"/>
        </w:rPr>
        <w:t xml:space="preserve">The Lancet Regional Health - Europe</w:t>
      </w:r>
      <w:r>
        <w:rPr/>
        <w:t xml:space="preserve">, (67).</w:t>
      </w:r>
    </w:p>
    <w:p>
      <w:pPr>
        <w:spacing w:after="240" w:line="240" w:lineRule="atLeast"/>
      </w:pPr>
      <w:r>
        <w:rPr/>
        <w:t xml:space="preserve">Bächler, F., &amp; Stocker, M. (2026). Democratizing CRISPR in its public-private ecosystem. </w:t>
      </w:r>
      <w:r>
        <w:rPr>
          <w:i w:val="1"/>
          <w:iCs w:val="1"/>
        </w:rPr>
        <w:t xml:space="preserve">Nature Biotechnology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(2), 183–188.</w:t>
      </w:r>
    </w:p>
    <w:p>
      <w:pPr>
        <w:spacing w:after="240" w:line="240" w:lineRule="atLeast"/>
      </w:pPr>
      <w:r>
        <w:rPr/>
        <w:t xml:space="preserve">Bächler, F., &amp; Gengotti, F. (2026). Modernisierung der Kapitalstruktur unter Wahrung der Kontrollverhältnisse: Zur Ablösung der Genussscheine durch Partizipationsscheine bei der Roche Holding AG. </w:t>
      </w:r>
      <w:r>
        <w:rPr>
          <w:i w:val="1"/>
          <w:iCs w:val="1"/>
        </w:rPr>
        <w:t xml:space="preserve">Zeitschrift für Gesellschafts- und Kapitalmarktrecht (GesKR)</w:t>
      </w:r>
      <w:r>
        <w:rPr/>
        <w:t xml:space="preserve">, (2), 246–251.</w:t>
      </w:r>
    </w:p>
    <w:p>
      <w:pPr>
        <w:spacing w:after="240" w:line="240" w:lineRule="atLeast"/>
      </w:pPr>
      <w:r>
        <w:rPr/>
        <w:t xml:space="preserve">Stöcklin, F., &amp; Bächler, F. (2023). ‘Central Bank Digital Currencies’ - Die Zukunft digitaler Zentralbankwährungen. </w:t>
      </w:r>
      <w:r>
        <w:rPr>
          <w:i w:val="1"/>
          <w:iCs w:val="1"/>
        </w:rPr>
        <w:t xml:space="preserve">Zeitschrift für Gesellschafts- und Kapitalmarktrecht (GesKR)</w:t>
      </w:r>
      <w:r>
        <w:rPr/>
        <w:t xml:space="preserve">, (3), 397–404.</w:t>
      </w:r>
    </w:p>
    <w:p>
      <w:pPr>
        <w:spacing w:after="240" w:line="240" w:lineRule="atLeast"/>
      </w:pPr>
      <w:r>
        <w:rPr/>
        <w:t xml:space="preserve">Früh, A., Haux, D. H., Bächler, F., &amp; Stocker, M. (2023). Der Streit um die CRISPR-Cas9-Grundlagenpatente: Darstellung und Einordnung patentrechtlicher Verfahren im Bereich der Genom-Editierung. </w:t>
      </w:r>
      <w:r>
        <w:rPr>
          <w:i w:val="1"/>
          <w:iCs w:val="1"/>
        </w:rPr>
        <w:t xml:space="preserve">Zeitschrift für Immaterialgüter-, Informations- und Wettbewerbsrecht sic!</w:t>
      </w:r>
      <w:r>
        <w:rPr/>
        <w:t xml:space="preserve">, 310–315.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Bächler, F. (2025). Normative Bedeutung der private governance in der Technologieregulierung: Darstellung am Beispiel von CRISPR/Cas9. In Baumann, Phil, Seiler, Hansjörg &amp; Marc M. Winistörfer (Eds.), </w:t>
      </w:r>
      <w:r>
        <w:rPr>
          <w:i w:val="1"/>
          <w:iCs w:val="1"/>
        </w:rPr>
        <w:t xml:space="preserve">Die Vielfalt der rechtlichen Regulierungsinstrumente: Eine kritische Betrachtung: Band zur 1. Nachwuchstagung des Luzerner Instituts für Wirtschaft und Regulierung - WiRe</w:t>
      </w:r>
      <w:r>
        <w:rPr/>
        <w:t xml:space="preserve"> (pp. 203–236). Zürich/St.Gallen: DIKE.</w:t>
      </w:r>
    </w:p>
    <w:p>
      <w:pPr>
        <w:spacing w:after="240" w:line="240" w:lineRule="atLeast"/>
      </w:pPr>
      <w:r>
        <w:rPr/>
        <w:t xml:space="preserve">Bächler, F. (2025). Patentrecht unter dem Aspekt der Nachhaltigkeit. In Sieber-Gasser, Charlotte, Bürgi Bonanomi, Elisabeth &amp; Koch, Rika (Eds.), </w:t>
      </w:r>
      <w:r>
        <w:rPr>
          <w:i w:val="1"/>
          <w:iCs w:val="1"/>
        </w:rPr>
        <w:t xml:space="preserve">Nachhaltige Entwicklung im Schweizer Recht</w:t>
      </w:r>
      <w:r>
        <w:rPr/>
        <w:t xml:space="preserve"> (pp. 319–334). Bern: Stämpfli.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Sprecher, Franziska, Schaks, Nils, &amp; Bächler, Franziska (Eds.). (2028). </w:t>
      </w:r>
      <w:r>
        <w:rPr>
          <w:i w:val="1"/>
          <w:iCs w:val="1"/>
        </w:rPr>
        <w:t xml:space="preserve">Kommentar zum revidierten Bundesgesetz über die Bekämpfung übertragbarer Krankheiten des Menschen (Epidemiengesetz, EpG)</w:t>
      </w:r>
      <w:r>
        <w:rPr/>
        <w:t xml:space="preserve">. online: Online Kommentar.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Bächler, F., &amp; Meier, A. (23 December 2024). </w:t>
      </w:r>
      <w:r>
        <w:rPr>
          <w:i w:val="1"/>
          <w:iCs w:val="1"/>
        </w:rPr>
        <w:t xml:space="preserve">An assessment of the current state of interdisciplinary CRISPR research - Report based on the workshop ‘The Technology and Ehtics of CRISPR’</w:t>
      </w:r>
      <w:r>
        <w:rPr/>
        <w:t xml:space="preserve"> (H2R Working Paper). seismo.</w:t>
      </w:r>
    </w:p>
    <w:p>
      <w:pPr>
        <w:spacing w:after="240" w:line="240" w:lineRule="atLeast"/>
      </w:pPr>
      <w:r>
        <w:rPr/>
        <w:t xml:space="preserve">Thouvenin, F., Volz, S., Früh, A., Koch, R., Bächler, F., Romano, G. P., … Saner, B. (9 October 2023). </w:t>
      </w:r>
      <w:r>
        <w:rPr>
          <w:i w:val="1"/>
          <w:iCs w:val="1"/>
        </w:rPr>
        <w:t xml:space="preserve">Rechtsgutachten im Auftrag von swissuniversities zu ‘Regulatory Framework: Zweitveröffentlichungsrecht und Open Access als regulatorische Herausforderung’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von der Crone, H. C., &amp; Bächler, F. (13 November 2009). </w:t>
      </w:r>
      <w:r>
        <w:rPr>
          <w:i w:val="1"/>
          <w:iCs w:val="1"/>
        </w:rPr>
        <w:t xml:space="preserve">Stellungnahme zum Rundschreiben 10/1 der FINMA betreffend Vergütungssysteme und Mindeststandards bei Finanzinstituten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van Kolfschooten, H., &amp; Bächler, F. (19 October 2025). </w:t>
      </w:r>
      <w:r>
        <w:rPr>
          <w:i w:val="1"/>
          <w:iCs w:val="1"/>
        </w:rPr>
        <w:t xml:space="preserve">A Multi-Level Risk Account of AI Mental Health Chatbots under the EU Artificial Intelligence Act</w:t>
      </w:r>
      <w:r>
        <w:rPr/>
        <w:t xml:space="preserve">. Presented at the UN-ETH Forum on Science and Policy in Turbulent Times, ETH Zürich.</w:t>
      </w:r>
    </w:p>
    <w:p>
      <w:pPr>
        <w:spacing w:after="240" w:line="240" w:lineRule="atLeast"/>
      </w:pPr>
      <w:r>
        <w:rPr/>
        <w:t xml:space="preserve">Bächler, F. (7 April 2025). </w:t>
      </w:r>
      <w:r>
        <w:rPr>
          <w:i w:val="1"/>
          <w:iCs w:val="1"/>
        </w:rPr>
        <w:t xml:space="preserve">‘Democratization’ in its public-private ecosystem</w:t>
      </w:r>
      <w:r>
        <w:rPr/>
        <w:t xml:space="preserve">. Presented at the CRISPR Medicine Conference 2025, Øksnehallen Kopenhagen.</w:t>
      </w:r>
    </w:p>
    <w:p>
      <w:pPr>
        <w:spacing w:after="240" w:line="240" w:lineRule="atLeast"/>
      </w:pPr>
      <w:r>
        <w:rPr/>
        <w:t xml:space="preserve">Bächler, F. (27 August 2024). </w:t>
      </w:r>
      <w:r>
        <w:rPr>
          <w:i w:val="1"/>
          <w:iCs w:val="1"/>
        </w:rPr>
        <w:t xml:space="preserve">IP and Transactional Challenges in Creating Health Data Ecosystems</w:t>
      </w:r>
      <w:r>
        <w:rPr/>
        <w:t xml:space="preserve">. Presented at the Personalized Health Conference 2024, ETH Zürich.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Case Notes</w:t>
      </w:r>
    </w:p>
    <w:p>
      <w:pPr>
        <w:spacing w:after="240" w:line="240" w:lineRule="atLeast"/>
      </w:pPr>
      <w:r>
        <w:rPr/>
        <w:t xml:space="preserve">von der Crone, H. C., &amp; Bächler, F. (2009). Überprüfung von Generalversammlungsbeschlüssen. </w:t>
      </w:r>
      <w:r>
        <w:rPr>
          <w:i w:val="1"/>
          <w:iCs w:val="1"/>
        </w:rPr>
        <w:t xml:space="preserve">Schweizerische Zeitschrift für Wirtschafts- und Finanzmarktrecht (SZW)</w:t>
      </w:r>
      <w:r>
        <w:rPr/>
        <w:t xml:space="preserve">, (4), 310–316.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Bächler, F., &amp; Stocker, M. (12 March 2026). </w:t>
      </w:r>
      <w:r>
        <w:rPr>
          <w:i w:val="1"/>
          <w:iCs w:val="1"/>
        </w:rPr>
        <w:t xml:space="preserve">Rethinking Access to CRISPR Across Medicine and Agriculture: behind the paper blog post of Springer Nature research communities</w:t>
      </w:r>
      <w:r>
        <w:rPr/>
        <w:t xml:space="preserve">. Retrieved from www.communities.springernature.com/posts/rethinking-access-to-crispr-across-medicine-and-agriculture-9d0c59d1-d8f9-4d18-94d0-966317e50d70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Franziska Bächler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Franziska Bächler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