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RA, LL.M. Franca Contratto</w:t>
      </w:r>
    </w:p>
    <w:p>
      <w:pPr>
        <w:spacing w:after="240" w:line="240" w:lineRule="atLeast"/>
      </w:pPr>
      <w:r>
        <w:t xml:space="preserve">ORCID: 0009-0009-1621-9916</w:t>
      </w:r>
    </w:p>
    <w:p>
      <w:pPr>
        <w:spacing w:after="240" w:line="240" w:lineRule="atLeast"/>
        <w:rPr>
          <w:b/>
          <w:bCs/>
        </w:rPr>
      </w:pPr>
      <w:r>
        <w:rPr>
          <w:b/>
          <w:bCs/>
        </w:rPr>
        <w:t xml:space="preserve">Authored book</w:t>
      </w:r>
    </w:p>
    <w:p>
      <w:pPr>
        <w:spacing w:after="240" w:line="240" w:lineRule="atLeast"/>
      </w:pPr>
      <w:r>
        <w:rPr>
          <w:smallCaps w:val="1"/>
          <w:caps w:val="0"/>
        </w:rPr>
        <w:t xml:space="preserve">Contratto Franca</w:t>
      </w:r>
      <w:r>
        <w:rPr/>
        <w:t xml:space="preserve">/</w:t>
      </w:r>
      <w:r>
        <w:rPr>
          <w:smallCaps w:val="1"/>
          <w:caps w:val="0"/>
        </w:rPr>
        <w:t xml:space="preserve">Fabrizio Nadja</w:t>
      </w:r>
      <w:r>
        <w:rPr/>
        <w:t xml:space="preserve">/</w:t>
      </w:r>
      <w:r>
        <w:rPr>
          <w:smallCaps w:val="1"/>
          <w:caps w:val="0"/>
        </w:rPr>
        <w:t xml:space="preserve">Furrer Andreas</w:t>
      </w:r>
      <w:r>
        <w:rPr/>
        <w:t xml:space="preserve">/</w:t>
      </w:r>
      <w:r>
        <w:rPr>
          <w:smallCaps w:val="1"/>
          <w:caps w:val="0"/>
        </w:rPr>
        <w:t xml:space="preserve">Girsberger Daniel</w:t>
      </w:r>
      <w:r>
        <w:rPr/>
        <w:t xml:space="preserve">, Wirtschaftsrecht, litera B, 5. Auflage, Zürich 2026, https://www.schulthess.com/de/detail/ISBN-9783725580309/Contratto-Franca-Fabrizio--Nadja-Furrer-Andreas-Girsberger-Daniel/Wirtschaftsrecht</w:t>
      </w:r>
    </w:p>
    <w:p>
      <w:pPr>
        <w:spacing w:after="240" w:line="240" w:lineRule="atLeast"/>
      </w:pPr>
      <w:r>
        <w:rPr>
          <w:smallCaps w:val="1"/>
          <w:caps w:val="0"/>
        </w:rPr>
        <w:t xml:space="preserve">Zufferey Jean-Bapiste</w:t>
      </w:r>
      <w:r>
        <w:rPr/>
        <w:t xml:space="preserve">/</w:t>
      </w:r>
      <w:r>
        <w:rPr>
          <w:smallCaps w:val="1"/>
          <w:caps w:val="0"/>
        </w:rPr>
        <w:t xml:space="preserve">Contratto Franca</w:t>
      </w:r>
      <w:r>
        <w:rPr/>
        <w:t xml:space="preserve">, FINMA - The Swiss Financial Market Supervisory Authority, Basel 2009</w:t>
      </w:r>
    </w:p>
    <w:p>
      <w:pPr>
        <w:spacing w:after="240" w:line="240" w:lineRule="atLeast"/>
      </w:pPr>
      <w:r>
        <w:rPr>
          <w:smallCaps w:val="1"/>
          <w:caps w:val="0"/>
        </w:rPr>
        <w:t xml:space="preserve">Contratto Franca</w:t>
      </w:r>
      <w:r>
        <w:rPr/>
        <w:t xml:space="preserve">, Konzeptionelle Ansätze zur Regulierung von Derivaten im schweizerischen Recht: Analyse de lege lata und Vorschläge de lege ferenda unter besonderer Berücksichtigung der Anlegerinformation bei Warrants und strukturierten Produkten, Dissertation, Arbeiten aus dem Juristischen Seminar der Universität Freiburg i.Ue., Vol. 251, Zürich/Basel/Genf 2006</w:t>
      </w:r>
    </w:p>
    <w:p>
      <w:pPr>
        <w:spacing w:after="240" w:line="240" w:lineRule="atLeast"/>
        <w:rPr>
          <w:b/>
          <w:bCs/>
        </w:rPr>
      </w:pPr>
      <w:r>
        <w:rPr>
          <w:b/>
          <w:bCs/>
        </w:rPr>
        <w:t xml:space="preserve">Journal Article</w:t>
      </w:r>
    </w:p>
    <w:p>
      <w:pPr>
        <w:spacing w:after="240" w:line="240" w:lineRule="atLeast"/>
      </w:pPr>
      <w:r>
        <w:rPr>
          <w:smallCaps w:val="1"/>
          <w:caps w:val="0"/>
        </w:rPr>
        <w:t xml:space="preserve">Contratto Franca</w:t>
      </w:r>
      <w:r>
        <w:rPr/>
        <w:t xml:space="preserve">, Crypto Markets: Regulators Worldwide Are Sharpening Their Knives, in: Swiss Capital Markets Law (CapLaw) 4/2023, pp. 4–9, https://caplaw.ch/2023/crypto-markets-regulators-worldwide-are-sharpening-their-knives/</w:t>
      </w:r>
    </w:p>
    <w:p>
      <w:pPr>
        <w:spacing w:after="240" w:line="240" w:lineRule="atLeast"/>
      </w:pPr>
      <w:r>
        <w:rPr>
          <w:smallCaps w:val="1"/>
          <w:caps w:val="0"/>
        </w:rPr>
        <w:t xml:space="preserve">Contratto Franca</w:t>
      </w:r>
      <w:r>
        <w:rPr/>
        <w:t xml:space="preserve">, EU Capital Markets Recovery Package: Meeting the Economic Challenges of the ‘COVID-19 pandemic’?, in: CapLaw Swiss Capital Markets Law 6/2020, pp. 32–36, https://www.caplaw.ch/category/regulatory/</w:t>
      </w:r>
    </w:p>
    <w:p>
      <w:pPr>
        <w:spacing w:after="240" w:line="240" w:lineRule="atLeast"/>
      </w:pPr>
      <w:r>
        <w:rPr>
          <w:smallCaps w:val="1"/>
          <w:caps w:val="0"/>
        </w:rPr>
        <w:t xml:space="preserve">Contratto Franca</w:t>
      </w:r>
      <w:r>
        <w:rPr/>
        <w:t xml:space="preserve">, Sanktionen: Neue Gretchenfrage im Ringen um den Marktzugang in die EU?, in: Schweizerische Zeitschrift für Wirtschafts- und Finanzmarktrecht (SZW) 2018/6/2018, pp. 653–666</w:t>
      </w:r>
    </w:p>
    <w:p>
      <w:pPr>
        <w:spacing w:after="240" w:line="240" w:lineRule="atLeast"/>
      </w:pPr>
      <w:r>
        <w:rPr>
          <w:smallCaps w:val="1"/>
          <w:caps w:val="0"/>
        </w:rPr>
        <w:t xml:space="preserve">Contratto Franca</w:t>
      </w:r>
      <w:r>
        <w:rPr/>
        <w:t xml:space="preserve">, Die expansive Wirkung des Effektivitätsgebots beim Vollzug des EU-Kapitalmarktrechts, in: Zeitschrift für Europarecht (EuZ) 2/2016, pp. 36–46</w:t>
      </w:r>
    </w:p>
    <w:p>
      <w:pPr>
        <w:spacing w:after="240" w:line="240" w:lineRule="atLeast"/>
      </w:pPr>
      <w:r>
        <w:rPr>
          <w:smallCaps w:val="1"/>
          <w:caps w:val="0"/>
        </w:rPr>
        <w:t xml:space="preserve">Contratto Franca</w:t>
      </w:r>
      <w:r>
        <w:rPr/>
        <w:t xml:space="preserve">, ‘RegTech’: Digitale Wende für Aufsicht und Compliance, in: Jusletter 2016, pp. 1–23</w:t>
      </w:r>
    </w:p>
    <w:p>
      <w:pPr>
        <w:spacing w:after="240" w:line="240" w:lineRule="atLeast"/>
      </w:pPr>
      <w:r>
        <w:rPr>
          <w:smallCaps w:val="1"/>
          <w:caps w:val="0"/>
        </w:rPr>
        <w:t xml:space="preserve">Contratto Franca</w:t>
      </w:r>
      <w:r>
        <w:rPr/>
        <w:t xml:space="preserve">, Hochfrequenzhandel und systemische Risiken, Risikovorsorge im Finanzmarktrecht gestützt auf das Vorsorgeprinzip, in: Zeitschrift für Gesellschafts- und Kapitalmarktrecht (GesKR) 2/2014, pp. 143–160</w:t>
      </w:r>
    </w:p>
    <w:p>
      <w:pPr>
        <w:spacing w:after="240" w:line="240" w:lineRule="atLeast"/>
      </w:pPr>
      <w:r>
        <w:rPr>
          <w:smallCaps w:val="1"/>
          <w:caps w:val="0"/>
        </w:rPr>
        <w:t xml:space="preserve">Contratto Franca</w:t>
      </w:r>
      <w:r>
        <w:rPr/>
        <w:t xml:space="preserve">, Les investisseurs face aux instruments financiers complexes: observations de droit comparé, in: Revue Lamy Droit des Affaires 82/2013, pp. 86–91</w:t>
      </w:r>
    </w:p>
    <w:p>
      <w:pPr>
        <w:spacing w:after="240" w:line="240" w:lineRule="atLeast"/>
      </w:pPr>
      <w:r>
        <w:rPr>
          <w:smallCaps w:val="1"/>
          <w:caps w:val="0"/>
        </w:rPr>
        <w:t xml:space="preserve">Contratto Franca</w:t>
      </w:r>
      <w:r>
        <w:rPr/>
        <w:t xml:space="preserve">, Alternative Streitbeilegung im Finanzsektor, Eckwerte zur Schaffung von „Swiss Finance Dispute Resolution“ (Swiss FDR) – einem „Multi-Door Courthouse“ für den Finanzplatz Schweiz, in: Aktuelle Juristische Praxis (AJP/PJA) 2/2012, pp. 217–245</w:t>
      </w:r>
    </w:p>
    <w:p>
      <w:pPr>
        <w:spacing w:after="240" w:line="240" w:lineRule="atLeast"/>
      </w:pPr>
      <w:r>
        <w:rPr>
          <w:smallCaps w:val="1"/>
          <w:caps w:val="0"/>
        </w:rPr>
        <w:t xml:space="preserve">Contratto Franca</w:t>
      </w:r>
      <w:r>
        <w:rPr/>
        <w:t xml:space="preserve">, FINMA-Vertriebsbericht 2010: Ein Hoffnungsschimmer am Horizont für die Anleger, in: Jusletter 2011, pp. 1–27</w:t>
      </w:r>
    </w:p>
    <w:p>
      <w:pPr>
        <w:spacing w:after="240" w:line="240" w:lineRule="atLeast"/>
      </w:pPr>
      <w:r>
        <w:rPr>
          <w:smallCaps w:val="1"/>
          <w:caps w:val="0"/>
        </w:rPr>
        <w:t xml:space="preserve">Contratto Franca</w:t>
      </w:r>
      <w:r>
        <w:rPr/>
        <w:t xml:space="preserve">, Verhaltensregeln für unabhängige Vermögensverwalter nach FINMA-Rundschreiben 2009|1, Nährboden für strukturelle Vollzugsdefizite?, in: Schweizerische Zeitschrift für Wirtschafts- und Finanzmarktrecht (SZW) 5/2010, pp. 341–361</w:t>
      </w:r>
    </w:p>
    <w:p>
      <w:pPr>
        <w:spacing w:after="240" w:line="240" w:lineRule="atLeast"/>
      </w:pPr>
      <w:r>
        <w:rPr>
          <w:smallCaps w:val="1"/>
          <w:caps w:val="0"/>
        </w:rPr>
        <w:t xml:space="preserve">Contratto Franca</w:t>
      </w:r>
      <w:r>
        <w:rPr/>
        <w:t xml:space="preserve">, Access to Justice for Investors in the Wake of the Financial Crisis: Test Cases as a Panacea, in: Schweizerische Zeitschrift für Wirtschafts- und Finanzmarktrecht (SZW) 3/2009, pp. 176–190</w:t>
      </w:r>
    </w:p>
    <w:p>
      <w:pPr>
        <w:spacing w:after="240" w:line="240" w:lineRule="atLeast"/>
      </w:pPr>
      <w:r>
        <w:rPr>
          <w:smallCaps w:val="1"/>
          <w:caps w:val="0"/>
        </w:rPr>
        <w:t xml:space="preserve">Contratto Franca</w:t>
      </w:r>
      <w:r>
        <w:rPr/>
        <w:t xml:space="preserve">/</w:t>
      </w:r>
      <w:r>
        <w:rPr>
          <w:smallCaps w:val="1"/>
          <w:caps w:val="0"/>
        </w:rPr>
        <w:t xml:space="preserve">Eriksson Erika</w:t>
      </w:r>
      <w:r>
        <w:rPr/>
        <w:t xml:space="preserve">, Offenlegung von Vertriebsentschädigungen in der EU: Einheitssprache oder Vielfalt der Dialekte? Art. 26 MiFID-DRL und dessen praktische Umsetzung durch die Finanzindustrie, in: Zeitschrift für Gesellschafts- und Kapitalmarktrecht (GesKR) 3/2009, pp. 300–316</w:t>
      </w:r>
    </w:p>
    <w:p>
      <w:pPr>
        <w:spacing w:after="240" w:line="240" w:lineRule="atLeast"/>
      </w:pPr>
      <w:r>
        <w:rPr>
          <w:smallCaps w:val="1"/>
          <w:caps w:val="0"/>
        </w:rPr>
        <w:t xml:space="preserve">Contratto Franca</w:t>
      </w:r>
      <w:r>
        <w:rPr/>
        <w:t xml:space="preserve">, Der vereinfachte Prospekt für strukturierte Produkte nach Art. 5 KAG – Pandorabüchse oder wirksame Anlegerschutzmassnahme?, in: Zeitschrift für Gesellschafts- und Kapitalmarktrecht (GesKR) 2/2006, pp. 193–201</w:t>
      </w:r>
    </w:p>
    <w:p>
      <w:pPr>
        <w:spacing w:after="240" w:line="240" w:lineRule="atLeast"/>
        <w:rPr>
          <w:b/>
          <w:bCs/>
        </w:rPr>
      </w:pPr>
      <w:r>
        <w:rPr>
          <w:b/>
          <w:bCs/>
        </w:rPr>
        <w:t xml:space="preserve">Book Section</w:t>
      </w:r>
    </w:p>
    <w:p>
      <w:pPr>
        <w:spacing w:after="240" w:line="240" w:lineRule="atLeast"/>
      </w:pPr>
      <w:r>
        <w:rPr>
          <w:smallCaps w:val="1"/>
          <w:caps w:val="0"/>
        </w:rPr>
        <w:t xml:space="preserve">Contratto Franca</w:t>
      </w:r>
      <w:r>
        <w:rPr/>
        <w:t xml:space="preserve">/</w:t>
      </w:r>
      <w:r>
        <w:rPr>
          <w:smallCaps w:val="1"/>
          <w:caps w:val="0"/>
        </w:rPr>
        <w:t xml:space="preserve">Fischer Lars Aaron</w:t>
      </w:r>
      <w:r>
        <w:rPr/>
        <w:t xml:space="preserve">, Greenwashing-Bekämpfung in der Schweiz, Zweierlei Mass für Realwirtschaft und Finanzindustrie?, in: Augenhofer, Susanne/Told, Julia (Eds.), Greenwashing, 3. Tagung Nachhaltigkeit im Unternehmensrecht, Innsbruck 2025, pp. 143–181, https://doi.org/https://doi.org/10.33196/9783704696649-107</w:t>
      </w:r>
    </w:p>
    <w:p>
      <w:pPr>
        <w:spacing w:after="240" w:line="240" w:lineRule="atLeast"/>
      </w:pPr>
      <w:r>
        <w:rPr>
          <w:smallCaps w:val="1"/>
          <w:caps w:val="0"/>
        </w:rPr>
        <w:t xml:space="preserve">Contratto Franca</w:t>
      </w:r>
      <w:r>
        <w:rPr/>
        <w:t xml:space="preserve">, The Role of Deposit Insurance in Financial Stability, in: Chabloz/Contratto/Darbellay et al. (Eds.), TBTF &amp; Finanzstabilität, Zürich 2025, pp. 39–44</w:t>
      </w:r>
    </w:p>
    <w:p>
      <w:pPr>
        <w:spacing w:after="240" w:line="240" w:lineRule="atLeast"/>
      </w:pPr>
      <w:r>
        <w:rPr>
          <w:smallCaps w:val="1"/>
          <w:caps w:val="0"/>
        </w:rPr>
        <w:t xml:space="preserve">Contratto Franca</w:t>
      </w:r>
      <w:r>
        <w:rPr/>
        <w:t xml:space="preserve">, Technologie und Finanzmarktregulierung, Narrative von Interdependenz und Co-Evolution, in: Weber, Rolf H./Stoffel, Walter/Chenaux, Jean-Luc/Sethe, Rolf (Eds.), Aktuelle Herausforderungen des Gesellschafts- und Finanzmarktrechts, Festschrift für Hans Caspar von der Crone zum 60. Geburtstag, Zürich 2017, pp. 412–440</w:t>
      </w:r>
    </w:p>
    <w:p>
      <w:pPr>
        <w:spacing w:after="240" w:line="240" w:lineRule="atLeast"/>
      </w:pPr>
      <w:r>
        <w:rPr>
          <w:smallCaps w:val="1"/>
          <w:caps w:val="0"/>
        </w:rPr>
        <w:t xml:space="preserve">Contratto Franca</w:t>
      </w:r>
      <w:r>
        <w:rPr/>
        <w:t xml:space="preserve">, Das Anlegerleitbild im Wandel der Zeiten, Schweizer Schriften zum Finanzmarktrecht, in: Sethe, Rolf/Hens, Thorsten/von der Crone, Hans Casper/Weber, Rolf H. (Eds.), Anlegerschutz kontrovers diskutiert, Vol. 108, Zürich 2013, pp. 47–85</w:t>
      </w:r>
    </w:p>
    <w:p>
      <w:pPr>
        <w:spacing w:after="240" w:line="240" w:lineRule="atLeast"/>
        <w:rPr>
          <w:b/>
          <w:bCs/>
        </w:rPr>
      </w:pPr>
      <w:r>
        <w:rPr>
          <w:b/>
          <w:bCs/>
        </w:rPr>
        <w:t xml:space="preserve">Thesis</w:t>
      </w:r>
    </w:p>
    <w:p>
      <w:pPr>
        <w:spacing w:after="240" w:line="240" w:lineRule="atLeast"/>
      </w:pPr>
      <w:r>
        <w:rPr>
          <w:smallCaps w:val="1"/>
          <w:caps w:val="0"/>
        </w:rPr>
        <w:t xml:space="preserve">Contratto Franca</w:t>
      </w:r>
      <w:r>
        <w:rPr/>
        <w:t xml:space="preserve">, Pluralistische Rechtsverwirklichung im Kapitalmarkt, Empirie und Dogmatik der Rechtsdurchsetzung im Wechselspiel zwischen Staat und Privaten, Habilitation, Rechtswissenschaftliche Fakultät, Universität Zürich, Switzerland 2019</w:t>
      </w:r>
    </w:p>
    <w:p>
      <w:pPr>
        <w:spacing w:after="240" w:line="240" w:lineRule="atLeast"/>
      </w:pPr>
      <w:r>
        <w:rPr>
          <w:smallCaps w:val="1"/>
          <w:caps w:val="0"/>
        </w:rPr>
        <w:t xml:space="preserve">Contratto Franca</w:t>
      </w:r>
      <w:r>
        <w:rPr/>
        <w:t xml:space="preserve">, Konzeptionelle Ansätze zur Regulierung von Derivaten im schweizerischen Recht: Analyse de lege lata und Vorschläge de lege ferenda unter besonderer Berücksichtigung der Anlegerinformation bei Warrants und strukturierten Produkten, Dissertation, Universität Fribourg, Switzerland 2006</w:t>
      </w:r>
    </w:p>
    <w:p>
      <w:pPr>
        <w:spacing w:after="240" w:line="240" w:lineRule="atLeast"/>
        <w:rPr>
          <w:b/>
          <w:bCs/>
        </w:rPr>
      </w:pPr>
      <w:r>
        <w:rPr>
          <w:b/>
          <w:bCs/>
        </w:rPr>
        <w:t xml:space="preserve">(working, research, annual) report, expert opinion, expertise</w:t>
      </w:r>
    </w:p>
    <w:p>
      <w:pPr>
        <w:spacing w:after="240" w:line="240" w:lineRule="atLeast"/>
      </w:pPr>
      <w:r>
        <w:rPr>
          <w:smallCaps w:val="1"/>
          <w:caps w:val="0"/>
        </w:rPr>
        <w:t xml:space="preserve">Contratto Franca</w:t>
      </w:r>
      <w:r>
        <w:rPr/>
        <w:t xml:space="preserve">, Eingabe an das Eidgenössische Finanzdepartement zum Entwurf der Finanzmarktinfrastrukturverordnung (FinfraV) - algorithmischer Handel, 25/09/2015</w:t>
      </w:r>
    </w:p>
    <w:p>
      <w:pPr>
        <w:spacing w:after="240" w:line="240" w:lineRule="atLeast"/>
      </w:pPr>
      <w:r>
        <w:rPr>
          <w:smallCaps w:val="1"/>
          <w:caps w:val="0"/>
        </w:rPr>
        <w:t xml:space="preserve">Sethe Rolf</w:t>
      </w:r>
      <w:r>
        <w:rPr/>
        <w:t xml:space="preserve">/</w:t>
      </w:r>
      <w:r>
        <w:rPr>
          <w:smallCaps w:val="1"/>
          <w:caps w:val="0"/>
        </w:rPr>
        <w:t xml:space="preserve">Rochet Jean-Charles</w:t>
      </w:r>
      <w:r>
        <w:rPr/>
        <w:t xml:space="preserve">/</w:t>
      </w:r>
      <w:r>
        <w:rPr>
          <w:smallCaps w:val="1"/>
          <w:caps w:val="0"/>
        </w:rPr>
        <w:t xml:space="preserve">Contratto Franca</w:t>
      </w:r>
      <w:r>
        <w:rPr/>
        <w:t xml:space="preserve">, Eingabe an das Eidgenössische Finanzdepartement zum Entwurf eines Bundesgesetzes über Finanzmarktinfrastrukturen (FinfraG), 31/03/2014</w:t>
      </w:r>
    </w:p>
    <w:p>
      <w:pPr>
        <w:spacing w:after="240" w:line="240" w:lineRule="atLeast"/>
      </w:pPr>
      <w:r>
        <w:rPr>
          <w:smallCaps w:val="1"/>
          <w:caps w:val="0"/>
        </w:rPr>
        <w:t xml:space="preserve">Steiner Markus</w:t>
      </w:r>
      <w:r>
        <w:rPr/>
        <w:t xml:space="preserve">/</w:t>
      </w:r>
      <w:r>
        <w:rPr>
          <w:smallCaps w:val="1"/>
          <w:caps w:val="0"/>
        </w:rPr>
        <w:t xml:space="preserve">Contratto Franca</w:t>
      </w:r>
      <w:r>
        <w:rPr/>
        <w:t xml:space="preserve">, Sizing up CISA – New legislation lays the groundwork for progress and innovation in Switzerland’s funds industry, Zürich 2007, p. 8</w:t>
      </w:r>
    </w:p>
    <w:p>
      <w:pPr>
        <w:spacing w:after="240" w:line="240" w:lineRule="atLeast"/>
        <w:rPr>
          <w:b/>
          <w:bCs/>
        </w:rPr>
      </w:pPr>
      <w:r>
        <w:rPr>
          <w:b/>
          <w:bCs/>
        </w:rPr>
        <w:t xml:space="preserve">Interview</w:t>
      </w:r>
    </w:p>
    <w:p>
      <w:pPr>
        <w:spacing w:after="240" w:line="240" w:lineRule="atLeast"/>
      </w:pPr>
      <w:r>
        <w:rPr>
          <w:smallCaps w:val="1"/>
          <w:caps w:val="0"/>
        </w:rPr>
        <w:t xml:space="preserve">Contratto Franca</w:t>
      </w:r>
      <w:r>
        <w:rPr/>
        <w:t xml:space="preserve">, Rechtliche Schritte gegen Organe der Credit Suisse?, Interview für die Tagesschau, ausgestrahlt auf SRF 1, 23/03/2023</w:t>
      </w:r>
    </w:p>
    <w:p>
      <w:pPr>
        <w:spacing w:after="240" w:line="240" w:lineRule="atLeast"/>
      </w:pPr>
      <w:r>
        <w:rPr>
          <w:smallCaps w:val="1"/>
          <w:caps w:val="0"/>
        </w:rPr>
        <w:t xml:space="preserve">Contratto Franca</w:t>
      </w:r>
      <w:r>
        <w:rPr/>
        <w:t xml:space="preserve">, Kontroverse um den Fussballclub Luzern (FCL Holding AG) und die derzeit hängigen aktienrechtlichen Klagen, zentralplus. Das Onlinemagazin für Luzern und Zug, 21/03/2023</w:t>
      </w:r>
    </w:p>
    <w:p>
      <w:pPr>
        <w:spacing w:after="240" w:line="240" w:lineRule="atLeast"/>
      </w:pPr>
      <w:r>
        <w:rPr>
          <w:smallCaps w:val="1"/>
          <w:caps w:val="0"/>
        </w:rPr>
        <w:t xml:space="preserve">Contratto Franca</w:t>
      </w:r>
      <w:r>
        <w:rPr/>
        <w:t xml:space="preserve">, Überlegungen zur Übernahme der Credit Suisse Group AG durch die UBS Group AG aus wirtschaftsrechtlicher Sicht, Interview für die Sendung «heute morgen», ausgestrahlt auf Radio SRF 1 und 4, 20/03/2023</w:t>
      </w:r>
    </w:p>
    <w:p>
      <w:pPr>
        <w:spacing w:after="240" w:line="240" w:lineRule="atLeast"/>
      </w:pPr>
      <w:r>
        <w:rPr>
          <w:smallCaps w:val="1"/>
          <w:caps w:val="0"/>
        </w:rPr>
        <w:t xml:space="preserve">Contratto Franca</w:t>
      </w:r>
      <w:r>
        <w:rPr/>
        <w:t xml:space="preserve">, Rechtliche Einordnung öffentlicher Äusserungen von UBS VR-Präsidenten Axel Lehmann mit Blick auf potentielle Verstösse gegen Marktmissbrauchsrecht, Hintergrundinterview für den am 22. Februar 2023 in der NZZ erschienenen Beitrag mit dem Titel «Laut einer Nachrichtenagentur überprüft die Finanzmarktaufsicht Interviewäusserungen von Axel Lehmann vom vergangenen Dezember. Hat er die Situation der Bank damals zu positiv dargestellt?", Neue Zürcher Zeitung, 22/02/2023</w:t>
      </w:r>
    </w:p>
    <w:p>
      <w:pPr>
        <w:spacing w:after="240" w:line="240" w:lineRule="atLeast"/>
      </w:pPr>
      <w:r>
        <w:rPr>
          <w:smallCaps w:val="1"/>
          <w:caps w:val="0"/>
        </w:rPr>
        <w:t xml:space="preserve">Contratto Franca</w:t>
      </w:r>
      <w:r>
        <w:rPr/>
        <w:t xml:space="preserve">, FINMA-Enforcementverfahren gegen die Bank Julius Bär (Geldwäscherei/Korruptionsfälle FIFA &amp; PDVSA), SRF-Sendung 10vor10, 20/02/2020, https://www.srf.ch/play/tv/10vor10/video/schmutzige-gelder-bei-julius-baer?id=6ce4181e-46da-4545-a6b6-db8d864e4288</w:t>
      </w:r>
    </w:p>
    <w:p>
      <w:pPr>
        <w:spacing w:after="240" w:line="240" w:lineRule="atLeast"/>
      </w:pPr>
      <w:r>
        <w:rPr>
          <w:smallCaps w:val="1"/>
          <w:caps w:val="0"/>
        </w:rPr>
        <w:t xml:space="preserve">Contratto Franca</w:t>
      </w:r>
      <w:r>
        <w:rPr/>
        <w:t xml:space="preserve">, «Risiko Hochfrequenzhandel», Stellungnahme zur nationalrätlichen Debatte des neuen Finanzmarktinfrastrukturgesetzes, Tages-Anzeiger | Der Bund, 20/03/2015</w:t>
      </w:r>
    </w:p>
    <w:p>
      <w:pPr>
        <w:spacing w:after="240" w:line="240" w:lineRule="atLeast"/>
      </w:pPr>
      <w:r>
        <w:rPr>
          <w:smallCaps w:val="1"/>
          <w:caps w:val="0"/>
        </w:rPr>
        <w:t xml:space="preserve">Contratto Franca</w:t>
      </w:r>
      <w:r>
        <w:rPr/>
        <w:t xml:space="preserve">, Hochfrequenzhandel - Börse im Temporausch, Sendung Input, Radio SRF 3, 23/02/2015, https://www.srf.ch/play/radio/input/audio/hochfrequenzhandel-die-boerse-im-temporausch?id=c066b9df-91ea-47ec-8250-58359b6f2fd3</w:t>
      </w:r>
    </w:p>
    <w:p>
      <w:pPr>
        <w:spacing w:after="240" w:line="240" w:lineRule="atLeast"/>
      </w:pPr>
      <w:r>
        <w:rPr>
          <w:smallCaps w:val="1"/>
          <w:caps w:val="0"/>
        </w:rPr>
        <w:t xml:space="preserve">Contratto Franca</w:t>
      </w:r>
      <w:r>
        <w:rPr/>
        <w:t xml:space="preserve">, Hochfrequenzhandel - Nationalbank soll Schweizer Börse beaufsichtigen, Wirtschaftssendung ECO, SRF 1, 13/10/2014, https://www.youtube.com/watch?v=ZCJkQFzilfE</w:t>
      </w:r>
    </w:p>
    <w:p>
      <w:pPr>
        <w:spacing w:after="240" w:line="240" w:lineRule="atLeast"/>
      </w:pPr>
      <w:r>
        <w:rPr>
          <w:smallCaps w:val="1"/>
          <w:caps w:val="0"/>
        </w:rPr>
        <w:t xml:space="preserve">Contratto Franca</w:t>
      </w:r>
      <w:r>
        <w:rPr/>
        <w:t xml:space="preserve">, Kann die Börse den Hochfrequenz-Handel kontrollieren?, Sendung Echo der Zeit, SRF 1 und 4, 03/10/2014, https://www.srf.ch/news/wirtschaft/kann-die-boerse-den-hochfrequenz-handel-kontrollieren</w:t>
      </w:r>
    </w:p>
    <w:p>
      <w:pPr>
        <w:spacing w:after="240" w:line="240" w:lineRule="atLeast"/>
      </w:pPr>
      <w:r>
        <w:rPr>
          <w:smallCaps w:val="1"/>
          <w:caps w:val="0"/>
        </w:rPr>
        <w:t xml:space="preserve">Contratto Franca</w:t>
      </w:r>
      <w:r>
        <w:rPr/>
        <w:t xml:space="preserve">, «Die heutige Ombudsstelle ist zahnlos», Interview zu aktuellen finanzmarktrechtlichen Reformprojekten und zur Verbesserung der Rechtsdurchsetzung für Anleger, Bote der Urschweiz, 13/09/2014</w:t>
      </w:r>
    </w:p>
    <w:p>
      <w:pPr>
        <w:spacing w:after="240" w:line="240" w:lineRule="atLeast"/>
      </w:pPr>
      <w:r>
        <w:rPr>
          <w:smallCaps w:val="1"/>
          <w:caps w:val="0"/>
        </w:rPr>
        <w:t xml:space="preserve">Contratto Franca</w:t>
      </w:r>
      <w:r>
        <w:rPr/>
        <w:t xml:space="preserve">/</w:t>
      </w:r>
      <w:r>
        <w:rPr>
          <w:smallCaps w:val="1"/>
          <w:caps w:val="0"/>
        </w:rPr>
        <w:t xml:space="preserve">Sandl Marcus</w:t>
      </w:r>
      <w:r>
        <w:rPr/>
        <w:t xml:space="preserve">, Kopf und Kragen: Wie wir mit Risiken umgehen, Podiumsgespräch moderiert von Thomas Gull und Roger Nickl, Talk im Turm, 03/06/2013, https://www.youtube.com/watch?v=061IP8hiEAM</w:t>
      </w:r>
    </w:p>
    <w:p>
      <w:pPr>
        <w:spacing w:after="240" w:line="240" w:lineRule="atLeast"/>
      </w:pPr>
      <w:r>
        <w:rPr>
          <w:smallCaps w:val="1"/>
          <w:caps w:val="0"/>
        </w:rPr>
        <w:t xml:space="preserve">Contratto Franca</w:t>
      </w:r>
      <w:r>
        <w:rPr/>
        <w:t xml:space="preserve">, Why UBS is not being fined in Switzerland? Interview on the regulatory sanctions imposed on UBS following the ‘Adoboli’ rogue trader scandal, World Radio Switzerland, 26/11/2012</w:t>
      </w:r>
    </w:p>
    <w:p>
      <w:pPr>
        <w:spacing w:after="240" w:line="240" w:lineRule="atLeast"/>
        <w:rPr>
          <w:b/>
          <w:bCs/>
        </w:rPr>
      </w:pPr>
      <w:r>
        <w:rPr>
          <w:b/>
          <w:bCs/>
        </w:rPr>
        <w:t xml:space="preserve">Review, Editorial, Letter in a Journal</w:t>
      </w:r>
    </w:p>
    <w:p>
      <w:pPr>
        <w:spacing w:after="240" w:line="240" w:lineRule="atLeast"/>
      </w:pPr>
      <w:r>
        <w:rPr>
          <w:smallCaps w:val="1"/>
          <w:caps w:val="0"/>
        </w:rPr>
        <w:t xml:space="preserve">Contratto Franca</w:t>
      </w:r>
      <w:r>
        <w:rPr/>
        <w:t xml:space="preserve">, Rezension von: Thévenoz, Luc/Zulauf Urs, Bank- und Finanzmarktrecht, Regulierung und Selbstregulierung der Finanzmärkte der Schweiz, in: Schweizerische Zeitschrift für Wirtschafts- und Finanzmarktrecht, SZW 1/2010, pp. 88–90</w:t>
      </w:r>
    </w:p>
    <w:p>
      <w:pPr>
        <w:spacing w:after="240" w:line="240" w:lineRule="atLeast"/>
        <w:rPr>
          <w:b/>
          <w:bCs/>
        </w:rPr>
      </w:pPr>
      <w:r>
        <w:rPr>
          <w:b/>
          <w:bCs/>
        </w:rPr>
        <w:t xml:space="preserve">Online Media: Blog, Forum, Newsgroup, Website</w:t>
      </w:r>
    </w:p>
    <w:p>
      <w:pPr>
        <w:spacing w:after="240" w:line="240" w:lineRule="atLeast"/>
      </w:pPr>
      <w:r>
        <w:rPr>
          <w:smallCaps w:val="1"/>
          <w:caps w:val="0"/>
        </w:rPr>
        <w:t xml:space="preserve">European Company Law Experts (ECLE)</w:t>
      </w:r>
      <w:r>
        <w:rPr/>
        <w:t xml:space="preserve">/</w:t>
      </w:r>
      <w:r>
        <w:rPr>
          <w:smallCaps w:val="1"/>
          <w:caps w:val="0"/>
        </w:rPr>
        <w:t xml:space="preserve">Contratto Franca</w:t>
      </w:r>
      <w:r>
        <w:rPr/>
        <w:t xml:space="preserve">, EU Inc: A Constitutional Paradox At The Heart Of Article 4, 02/06/2026, https://blogs.law.ox.ac.uk/oblb/blog-post/2026/06/eu-inc-constitutional-paradox-heart-article-4</w:t>
      </w:r>
    </w:p>
    <w:p>
      <w:pPr>
        <w:spacing w:after="240" w:line="240" w:lineRule="atLeast"/>
      </w:pPr>
      <w:r>
        <w:rPr>
          <w:smallCaps w:val="1"/>
          <w:caps w:val="0"/>
        </w:rPr>
        <w:t xml:space="preserve">European Company Law Experts (ECLE)</w:t>
      </w:r>
      <w:r>
        <w:rPr/>
        <w:t xml:space="preserve">/</w:t>
      </w:r>
      <w:r>
        <w:rPr>
          <w:smallCaps w:val="1"/>
          <w:caps w:val="0"/>
        </w:rPr>
        <w:t xml:space="preserve">Contratto Franca</w:t>
      </w:r>
      <w:r>
        <w:rPr/>
        <w:t xml:space="preserve">, The case for harmonisation of a capital market where it is needed: a shift in focus to the market for corporate debt, 28/01/2026, https://blogs.law.ox.ac.uk/oblb/blog-post/2026/01/case-harmonisation-capital-market-where-it-needed-shift-focus-market</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RA, LL.M. Franca Contratto</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RA, LL.M. Franca Contratto</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