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MLaw, LL.M. Corinne Reber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Hoeft, L., Noori, S., &amp; Reber, C. (2025). Rechtsschutzsystem in der Kritik: Fachbericht untermauert Forderung nach einer externen Evaluation. </w:t>
      </w:r>
      <w:r>
        <w:rPr>
          <w:i w:val="1"/>
          <w:iCs w:val="1"/>
        </w:rPr>
        <w:t xml:space="preserve">ASYL</w:t>
      </w:r>
      <w:r>
        <w:rPr/>
        <w:t xml:space="preserve">, (2), 24–27. Retrieved from https://asyl.recht.ch/de/artikel/02asyl0225inf/rechtsschutzsystem-der-kritik</w:t>
      </w:r>
    </w:p>
    <w:p>
      <w:pPr>
        <w:spacing w:after="240" w:line="240" w:lineRule="atLeast"/>
      </w:pPr>
      <w:r>
        <w:rPr/>
        <w:t xml:space="preserve">Reber, C., &amp; Baumgartner, M. (2025). Afghanistan. Une situation «considérablement améliorée»? </w:t>
      </w:r>
      <w:r>
        <w:rPr>
          <w:i w:val="1"/>
          <w:iCs w:val="1"/>
        </w:rPr>
        <w:t xml:space="preserve">asile.ch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Reber, C. (2025). Blackbox «LINGUA-Analyse» – ein überbewertetes Parteigutachten? </w:t>
      </w:r>
      <w:r>
        <w:rPr>
          <w:i w:val="1"/>
          <w:iCs w:val="1"/>
        </w:rPr>
        <w:t xml:space="preserve">Jusletter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Reber, C., &amp; Baumgartner, M. (2025). Renvois vers l’Afghanistan. Un changement de pratique contestable. </w:t>
      </w:r>
      <w:r>
        <w:rPr>
          <w:i w:val="1"/>
          <w:iCs w:val="1"/>
        </w:rPr>
        <w:t xml:space="preserve">asile.ch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Reber, C. (2023). Bundesverwaltungsgericht passt Wartefrist bei Familiennachzug durch vorläufig Aufgenommene an. </w:t>
      </w:r>
      <w:r>
        <w:rPr>
          <w:i w:val="1"/>
          <w:iCs w:val="1"/>
        </w:rPr>
        <w:t xml:space="preserve">ASYL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Reber, C., &amp; Kammermann, B. (2022). Fast «Alle unter einem Dach»? Die Rolle der externen Rechtsberatungsstellen im neuen Asylverfahren. </w:t>
      </w:r>
      <w:r>
        <w:rPr>
          <w:i w:val="1"/>
          <w:iCs w:val="1"/>
        </w:rPr>
        <w:t xml:space="preserve">ASYL</w:t>
      </w:r>
      <w:r>
        <w:rPr/>
        <w:t xml:space="preserve">, (2).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Rast, F., &amp; Reber, C. (2026). Rechtsentwicklungen in der Schweiz. In von Rütte, Barbara, Amarelle, Cesla, Boillet, Véronique, Caroni, Martina, Epiney, Astrid &amp; Müller, Andreas Th. (Eds.), </w:t>
      </w:r>
      <w:r>
        <w:rPr>
          <w:i w:val="1"/>
          <w:iCs w:val="1"/>
        </w:rPr>
        <w:t xml:space="preserve">Jahrbuch für Migrationsrecht 2025/2026</w:t>
      </w:r>
      <w:r>
        <w:rPr/>
        <w:t xml:space="preserve"> (pp. 467–523). Bern: Stämpfli Verlag.</w:t>
      </w:r>
    </w:p>
    <w:p>
      <w:pPr>
        <w:spacing w:after="240" w:line="240" w:lineRule="atLeast"/>
      </w:pPr>
      <w:r>
        <w:rPr/>
        <w:t xml:space="preserve">Reber, C. (2025). Rechtsentwicklungen in der Schweiz. In Achermann, Alberto, Amarelle, Cesla, Boillet, Véronique, Caroni, Martina, Epiney, Astrid &amp; Uebersax, Peter (Eds.), </w:t>
      </w:r>
      <w:r>
        <w:rPr>
          <w:i w:val="1"/>
          <w:iCs w:val="1"/>
        </w:rPr>
        <w:t xml:space="preserve">Jahrbuch für Migrationsrecht 2024/2025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Reber, C. (2024). Rechtsentwicklungen in der Schweiz. In Achermann, Alberto, Amarelle, Cesla, Boillet, Véronique, Caroni, Martina, Epiney, Astrid &amp; Uebersax, Peter (Eds.), </w:t>
      </w:r>
      <w:r>
        <w:rPr>
          <w:i w:val="1"/>
          <w:iCs w:val="1"/>
        </w:rPr>
        <w:t xml:space="preserve">Jahrbuch für Migrationsrecht 2023/2024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Reber, C. (2023). Rechtsentwicklungen in der Schweiz. In Achermann, Alberto, Boillet, Véronique, Caroni, Martina, Epiney, Astrid, Künzli, Jörg &amp; Uebersax, Peter (Eds.), </w:t>
      </w:r>
      <w:r>
        <w:rPr>
          <w:i w:val="1"/>
          <w:iCs w:val="1"/>
        </w:rPr>
        <w:t xml:space="preserve">Jahrbuch für Migrationsrecht 2022/2023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Reber, C., &amp; Naef, T. (2019). Personenfreizügigkeit - Bedeutung für die Schweiz. In Kellerhals, Andreas &amp; Baumgartner, Tobias (Eds.), </w:t>
      </w:r>
      <w:r>
        <w:rPr>
          <w:i w:val="1"/>
          <w:iCs w:val="1"/>
        </w:rPr>
        <w:t xml:space="preserve">Wirtschaftsrecht Schweiz - EU: Überblick und Kommentar 2018/19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Reber, C., &amp; Fischer, A. (2019). Personenfreizügigkeit - Rechtsentwicklung in der EU im Jahr 2018. In Kellerhals, Andreas &amp; Baumgartner, Tobias (Eds.), </w:t>
      </w:r>
      <w:r>
        <w:rPr>
          <w:i w:val="1"/>
          <w:iCs w:val="1"/>
        </w:rPr>
        <w:t xml:space="preserve">Wirtschaftsrecht Schweiz - EU: Überblick und Kommentar 2018/19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Reber, C., &amp; Naef, T. (2018). Personenfreizügigkeit - Bedeutung für die Schweiz. In Kellerhals, Andreas &amp; Baumgartner, Tobias (Eds.), </w:t>
      </w:r>
      <w:r>
        <w:rPr>
          <w:i w:val="1"/>
          <w:iCs w:val="1"/>
        </w:rPr>
        <w:t xml:space="preserve">Wirtschaftsrecht Schweiz - EU: Überblick und Kommentar 2017/18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Reber, C., &amp; Naef, T. (2017). Personenfreizügigkeit - Bedeutung für die Schweiz. In Kellerhals, Andreas &amp; Baumgartner, Tobias (Eds.), </w:t>
      </w:r>
      <w:r>
        <w:rPr>
          <w:i w:val="1"/>
          <w:iCs w:val="1"/>
        </w:rPr>
        <w:t xml:space="preserve">Wirtschaftsrecht Schweiz - EU: Überblick und Kommentar 2016/17</w:t>
      </w:r>
      <w:r>
        <w:rPr/>
        <w:t xml:space="preserve">. Zürich/St. Gallen: DIKE.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Reber, C. (2018). Swiss Bilateral Agreements with the EU as an inspiration for a future UK-EU relationship? In Kellerhals, Andreas &amp; Baumgartner, Tobias (Eds.), </w:t>
      </w:r>
      <w:r>
        <w:rPr>
          <w:i w:val="1"/>
          <w:iCs w:val="1"/>
        </w:rPr>
        <w:t xml:space="preserve">New dynamics in the European integration process - Europe post Brexit: 9th Network Europe Conference, Scotland, 25th - 28th June 2017</w:t>
      </w:r>
      <w:r>
        <w:rPr/>
        <w:t xml:space="preserve">. Zürich: Schulthess.</w:t>
      </w:r>
    </w:p>
    <w:p>
      <w:pPr>
        <w:spacing w:after="240" w:line="240" w:lineRule="atLeast"/>
      </w:pPr>
      <w:r>
        <w:rPr/>
        <w:t xml:space="preserve">Baumgartner, T., Racine, J., &amp; Reber, C. (2017). From Threat to Risk to Breach - Enforcing the Rule of Law in the EU. In Kellerhals, Andreas &amp; Baumgartner, Tobias (Eds.), </w:t>
      </w:r>
      <w:r>
        <w:rPr>
          <w:i w:val="1"/>
          <w:iCs w:val="1"/>
        </w:rPr>
        <w:t xml:space="preserve">Rule of Law in Europe - Current Challenges: 8th Network Europe Conference Moscow, 10th - 13th July 2016</w:t>
      </w:r>
      <w:r>
        <w:rPr/>
        <w:t xml:space="preserve">. Zürich: Schulthess.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/>
        <w:t xml:space="preserve">Kellerhals, Andreas, Baumgartner, Tobias, &amp; Reber, Corinne (Eds.). (2023). </w:t>
      </w:r>
      <w:r>
        <w:rPr>
          <w:i w:val="1"/>
          <w:iCs w:val="1"/>
        </w:rPr>
        <w:t xml:space="preserve">European Integration Perspectives in Times of Global Crises: 13th Network Europe Conference, Athens, 19 – 22 June 2022 Band 226</w:t>
      </w:r>
      <w:r>
        <w:rPr/>
        <w:t xml:space="preserve">. Zürich: EIZ Publishing.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/>
        <w:t xml:space="preserve">Reber, C. (2024). Art. 64b AIG - Wegweisungsverfügung mit Standardformular. In Caroni, Martina, Thurnherr, Daniela (Ed.),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</w:pPr>
      <w:r>
        <w:rPr/>
        <w:t xml:space="preserve">Reber, C. (2024). Art. 64c AIG - Formlose Wegweisung. In Caroni, Martina, Thurnherr, Daniela (Ed.),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</w:pPr>
      <w:r>
        <w:rPr/>
        <w:t xml:space="preserve">Reber, C. (2024). Art. 64d AIG - Ausreisefrist und sofortige Vollstreckung. In Caroni, Martina, Thurnherr, Daniela (Ed.),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</w:pPr>
      <w:r>
        <w:rPr/>
        <w:t xml:space="preserve">Reber, C. (2024). Art. 65 AIG - Einreiseverweigerung und Wegweisung am Flughafen. In Caroni, Martina, Thurnherr, Daniela (Ed.),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/>
        <w:t xml:space="preserve">Reber, C. (April 2023). Kein Widerruf von Bewilligungen bei Ergänzungsleistungsbezug: Und weitere mögliche Auswirkungen des Bundesgerichtsurteils 2C_60/2022 vom 27. Dezember 2022. </w:t>
      </w:r>
      <w:r>
        <w:rPr>
          <w:i w:val="1"/>
          <w:iCs w:val="1"/>
        </w:rPr>
        <w:t xml:space="preserve">Jusletter</w:t>
      </w:r>
      <w:r>
        <w:rPr/>
        <w:t xml:space="preserve">. https://doi.org/10.38023/df523af8-85b7-4046-a001-0cc267562be0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MLaw, LL.M. Corinne Reber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MLaw, LL.M. Corinne Reber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