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Ass.-Prof. Dr. Claude Humbel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Authored book</w:t>
      </w:r>
    </w:p>
    <w:p>
      <w:pPr>
        <w:spacing w:after="240" w:line="240" w:lineRule="atLeast"/>
      </w:pPr>
      <w:r>
        <w:rPr/>
        <w:t xml:space="preserve">Humbel, C., &amp; Wittkämper, T. (2024). </w:t>
      </w:r>
      <w:r>
        <w:rPr>
          <w:i w:val="1"/>
          <w:iCs w:val="1"/>
        </w:rPr>
        <w:t xml:space="preserve">Corporate Philanthropy und Sozialunternehmertum im Schweizer Unternehmensrecht: Möglichkeiten – Grenzen – Perspektiven</w:t>
      </w:r>
      <w:r>
        <w:rPr/>
        <w:t xml:space="preserve">. Zürich/St. Gallen: Dike.</w:t>
      </w:r>
    </w:p>
    <w:p>
      <w:pPr>
        <w:spacing w:after="240" w:line="240" w:lineRule="atLeast"/>
      </w:pPr>
      <w:r>
        <w:rPr/>
        <w:t xml:space="preserve">Humbel, C., Jakob, D., &amp; Brugger, L. (2023). </w:t>
      </w:r>
      <w:r>
        <w:rPr>
          <w:i w:val="1"/>
          <w:iCs w:val="1"/>
        </w:rPr>
        <w:t xml:space="preserve">Recht der Non-Profit-Organisationen</w:t>
      </w:r>
      <w:r>
        <w:rPr/>
        <w:t xml:space="preserve">. Zürich/St. Gallen: Dike.</w:t>
      </w:r>
    </w:p>
    <w:p>
      <w:pPr>
        <w:spacing w:after="240" w:line="240" w:lineRule="atLeast"/>
      </w:pPr>
      <w:r>
        <w:rPr/>
        <w:t xml:space="preserve">Humbel, C. (2019). </w:t>
      </w:r>
      <w:r>
        <w:rPr>
          <w:i w:val="1"/>
          <w:iCs w:val="1"/>
        </w:rPr>
        <w:t xml:space="preserve">Die Regelung der Vor- und Nachhandelstransparenz in der Europäischen Union und der Schweiz</w:t>
      </w:r>
      <w:r>
        <w:rPr/>
        <w:t xml:space="preserve"> (Zürcher Schriften zum Privatrecht) (Vol. 299). Zürich/Basel/Genf: Schulthess.</w:t>
      </w:r>
    </w:p>
    <w:p>
      <w:pPr>
        <w:spacing w:after="240" w:line="240" w:lineRule="atLeast"/>
      </w:pPr>
      <w:r>
        <w:rPr/>
        <w:t xml:space="preserve">Humbel, C., Jakob, D., Gubler, S., von Götz, C., &amp; Brugger, L. (2017). </w:t>
      </w:r>
      <w:r>
        <w:rPr>
          <w:i w:val="1"/>
          <w:iCs w:val="1"/>
        </w:rPr>
        <w:t xml:space="preserve">Verein – Stiftung – Trust: Entwicklungen 2016</w:t>
      </w:r>
      <w:r>
        <w:rPr/>
        <w:t xml:space="preserve"> (njus.ch). Bern: Stämpfli.</w:t>
      </w:r>
    </w:p>
    <w:p>
      <w:pPr>
        <w:spacing w:after="240" w:line="240" w:lineRule="atLeast"/>
      </w:pPr>
      <w:r>
        <w:rPr/>
        <w:t xml:space="preserve">Humbel, C., Jakob, D., Brugger, L., Gubler, S., &amp; von Götz, C. (2016). </w:t>
      </w:r>
      <w:r>
        <w:rPr>
          <w:i w:val="1"/>
          <w:iCs w:val="1"/>
        </w:rPr>
        <w:t xml:space="preserve">Verein – Stiftung – Trust: Entwicklungen 2015</w:t>
      </w:r>
      <w:r>
        <w:rPr/>
        <w:t xml:space="preserve"> (njus.ch). Bern: Stämpfli.</w:t>
      </w:r>
    </w:p>
    <w:p>
      <w:pPr>
        <w:spacing w:after="240" w:line="240" w:lineRule="atLeast"/>
      </w:pPr>
      <w:r>
        <w:rPr/>
        <w:t xml:space="preserve">Humbel, C., Jakob, D., Dardel, D., &amp; Uhl, M. (2015). </w:t>
      </w:r>
      <w:r>
        <w:rPr>
          <w:i w:val="1"/>
          <w:iCs w:val="1"/>
        </w:rPr>
        <w:t xml:space="preserve">Verein – Stiftung – Trust: Entwicklungen 2014</w:t>
      </w:r>
      <w:r>
        <w:rPr/>
        <w:t xml:space="preserve"> (njus.ch). Bern: Stämpfli.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Journal Article</w:t>
      </w:r>
    </w:p>
    <w:p>
      <w:pPr>
        <w:spacing w:after="240" w:line="240" w:lineRule="atLeast"/>
      </w:pPr>
      <w:r>
        <w:rPr/>
        <w:t xml:space="preserve">Jakob, D., &amp; Humbel, C. (2026). Patronale Wohlfahrtsfonds: Rechtsnatur, Rechtsgrundlagen und Modernisierungsmöglichkeiten vor dem Hintergrund des seit 1. Januar 2025 geltenden Rechts. </w:t>
      </w:r>
      <w:r>
        <w:rPr>
          <w:i w:val="1"/>
          <w:iCs w:val="1"/>
        </w:rPr>
        <w:t xml:space="preserve">Schweizerische Juristen-Zeitung</w:t>
      </w:r>
      <w:r>
        <w:rPr/>
        <w:t xml:space="preserve">, (4), 393–404.</w:t>
      </w:r>
    </w:p>
    <w:p>
      <w:pPr>
        <w:spacing w:after="240" w:line="240" w:lineRule="atLeast"/>
      </w:pPr>
      <w:r>
        <w:rPr/>
        <w:t xml:space="preserve">Guillaume, F., &amp; Humbel, C. (2026). Crypto-assets and blockchain-based legal infrastructure under Swiss law: Regulatory framework, private-law treatment and emerging challenges. </w:t>
      </w:r>
      <w:r>
        <w:rPr>
          <w:i w:val="1"/>
          <w:iCs w:val="1"/>
        </w:rPr>
        <w:t xml:space="preserve">TalTech Journal of European Studies</w:t>
      </w:r>
      <w:r>
        <w:rPr/>
        <w:t xml:space="preserve">, </w:t>
      </w:r>
      <w:r>
        <w:rPr>
          <w:i w:val="1"/>
          <w:iCs w:val="1"/>
        </w:rPr>
        <w:t xml:space="preserve">16</w:t>
      </w:r>
      <w:r>
        <w:rPr/>
        <w:t xml:space="preserve"> (1), 56–84. https://doi.org/10.2478/bjes-2026-0004</w:t>
      </w:r>
    </w:p>
    <w:p>
      <w:pPr>
        <w:spacing w:after="240" w:line="240" w:lineRule="atLeast"/>
      </w:pPr>
      <w:r>
        <w:rPr/>
        <w:t xml:space="preserve">Humbel, C., &amp; Marioli, M. (2026). Criptoinnovazione – Legge sugli istituti finanziari (LIsFi) alla sbarra: Un avamprogetto, due nuove autorizzazioni e tanti interrogativi. </w:t>
      </w:r>
      <w:r>
        <w:rPr>
          <w:i w:val="1"/>
          <w:iCs w:val="1"/>
        </w:rPr>
        <w:t xml:space="preserve">Novità Giuridiche</w:t>
      </w:r>
      <w:r>
        <w:rPr/>
        <w:t xml:space="preserve">, 54–69.</w:t>
      </w:r>
    </w:p>
    <w:p>
      <w:pPr>
        <w:spacing w:after="240" w:line="240" w:lineRule="atLeast"/>
      </w:pPr>
      <w:r>
        <w:rPr/>
        <w:t xml:space="preserve">Humbel, C. (2026). Stablecoin-Regulierung in der Schweiz: Aktueller Stand und Ausblick. </w:t>
      </w:r>
      <w:r>
        <w:rPr>
          <w:i w:val="1"/>
          <w:iCs w:val="1"/>
        </w:rPr>
        <w:t xml:space="preserve">Recht der Zahlungsdienste</w:t>
      </w:r>
      <w:r>
        <w:rPr/>
        <w:t xml:space="preserve">, 100–107.</w:t>
      </w:r>
    </w:p>
    <w:p>
      <w:pPr>
        <w:spacing w:after="240" w:line="240" w:lineRule="atLeast"/>
      </w:pPr>
      <w:r>
        <w:rPr/>
        <w:t xml:space="preserve">Humbel, C., &amp; Meirich, D. (2026). Zurechnung von Smart Contracts im Schweizer Finanzmarktrecht. </w:t>
      </w:r>
      <w:r>
        <w:rPr>
          <w:i w:val="1"/>
          <w:iCs w:val="1"/>
        </w:rPr>
        <w:t xml:space="preserve">Zeitschrift für Gesellschafts- und Kapitalmarktrecht (GesKR)</w:t>
      </w:r>
      <w:r>
        <w:rPr/>
        <w:t xml:space="preserve">, 18–37.</w:t>
      </w:r>
    </w:p>
    <w:p>
      <w:pPr>
        <w:spacing w:after="240" w:line="240" w:lineRule="atLeast"/>
      </w:pPr>
      <w:r>
        <w:rPr/>
        <w:t xml:space="preserve">Humbel, C. (2025). Auswirkungen internationaler Sanktionen auf das Vereins- und Stiftungsrecht. </w:t>
      </w:r>
      <w:r>
        <w:rPr>
          <w:i w:val="1"/>
          <w:iCs w:val="1"/>
        </w:rPr>
        <w:t xml:space="preserve">ZSR</w:t>
      </w:r>
      <w:r>
        <w:rPr/>
        <w:t xml:space="preserve">, (II), 327–393.</w:t>
      </w:r>
    </w:p>
    <w:p>
      <w:pPr>
        <w:spacing w:after="240" w:line="240" w:lineRule="atLeast"/>
      </w:pPr>
      <w:r>
        <w:rPr/>
        <w:t xml:space="preserve">Humbel, C. (2025). Die Krypto-Stiftung im Schweizer Recht: Eine stiftungs- und finanzmarktaufsichtsrechtliche Auslegeordnung. </w:t>
      </w:r>
      <w:r>
        <w:rPr>
          <w:i w:val="1"/>
          <w:iCs w:val="1"/>
        </w:rPr>
        <w:t xml:space="preserve">SZW Schweizerische Zeitschrift für Wirtschafts- und Finanzmarktrecht</w:t>
      </w:r>
      <w:r>
        <w:rPr/>
        <w:t xml:space="preserve">, (6), 659–675.</w:t>
      </w:r>
    </w:p>
    <w:p>
      <w:pPr>
        <w:spacing w:after="240" w:line="240" w:lineRule="atLeast"/>
      </w:pPr>
      <w:r>
        <w:rPr/>
        <w:t xml:space="preserve">Humbel, C. (2025). Interessenkonflikte im obersten Organ von Vorsorgeeinrichtungen und klassischen Stiftungen. </w:t>
      </w:r>
      <w:r>
        <w:rPr>
          <w:i w:val="1"/>
          <w:iCs w:val="1"/>
        </w:rPr>
        <w:t xml:space="preserve">ZBJV</w:t>
      </w:r>
      <w:r>
        <w:rPr/>
        <w:t xml:space="preserve">, (5), 255–283.</w:t>
      </w:r>
    </w:p>
    <w:p>
      <w:pPr>
        <w:spacing w:after="240" w:line="240" w:lineRule="atLeast"/>
      </w:pPr>
      <w:r>
        <w:rPr/>
        <w:t xml:space="preserve">Humbel, C., &amp; Sethe, R. (2025). Rechtsrisiken und deren Management im Bankwesen. </w:t>
      </w:r>
      <w:r>
        <w:rPr>
          <w:i w:val="1"/>
          <w:iCs w:val="1"/>
        </w:rPr>
        <w:t xml:space="preserve">SZW</w:t>
      </w:r>
      <w:r>
        <w:rPr/>
        <w:t xml:space="preserve">, 15–30.</w:t>
      </w:r>
    </w:p>
    <w:p>
      <w:pPr>
        <w:spacing w:after="240" w:line="240" w:lineRule="atLeast"/>
      </w:pPr>
      <w:r>
        <w:rPr/>
        <w:t xml:space="preserve">Humbel, C., &amp; Wittkämper, T. (2025). Soziales und nachhaltiges Unternehmertum umsetzen: Praxis und Perspektiven: Perspektiven und Berufspraxis. </w:t>
      </w:r>
      <w:r>
        <w:rPr>
          <w:i w:val="1"/>
          <w:iCs w:val="1"/>
        </w:rPr>
        <w:t xml:space="preserve">SJZ</w:t>
      </w:r>
      <w:r>
        <w:rPr/>
        <w:t xml:space="preserve">, 53–64.</w:t>
      </w:r>
    </w:p>
    <w:p>
      <w:pPr>
        <w:spacing w:after="240" w:line="240" w:lineRule="atLeast"/>
      </w:pPr>
      <w:r>
        <w:rPr/>
        <w:t xml:space="preserve">Humbel, C. (2024). Striving for Excellence in Legal Writing: Ein Werkstattbericht über den Aufbau eines Proseminars zur Förderung juristischer Schreibkompetenzen: Illustriert am Beispiel des Proseminars «Non-Profit-Organisationen und Benefit Corporations im Unternehmens- und Gesellschaftsrecht» an der Universität Zürich. </w:t>
      </w:r>
      <w:r>
        <w:rPr>
          <w:i w:val="1"/>
          <w:iCs w:val="1"/>
        </w:rPr>
        <w:t xml:space="preserve">ZDRW</w:t>
      </w:r>
      <w:r>
        <w:rPr/>
        <w:t xml:space="preserve">, (2), 159–171.</w:t>
      </w:r>
    </w:p>
    <w:p>
      <w:pPr>
        <w:spacing w:after="240" w:line="240" w:lineRule="atLeast"/>
      </w:pPr>
      <w:r>
        <w:rPr/>
        <w:t xml:space="preserve">Humbel, C., &amp; Sethe, R. (2024). Entwicklungen im Gesellschafts- und Wertpapierrecht | Le point sur le droit des sociétés et des papiers-valeurs: Berichtszeitraum August 2023 bis Juli 2024. </w:t>
      </w:r>
      <w:r>
        <w:rPr>
          <w:i w:val="1"/>
          <w:iCs w:val="1"/>
        </w:rPr>
        <w:t xml:space="preserve">SJZ</w:t>
      </w:r>
      <w:r>
        <w:rPr/>
        <w:t xml:space="preserve">, 965–976.</w:t>
      </w:r>
    </w:p>
    <w:p>
      <w:pPr>
        <w:spacing w:after="240" w:line="240" w:lineRule="atLeast"/>
      </w:pPr>
      <w:r>
        <w:rPr/>
        <w:t xml:space="preserve">Humbel, C., &amp; Wittkämper, T. (2024). Grundlagen des Rechts der sozialen und nachhaltigen Unternehmen: Begriffe – Entwicklungslinien – Herausforderungen. </w:t>
      </w:r>
      <w:r>
        <w:rPr>
          <w:i w:val="1"/>
          <w:iCs w:val="1"/>
        </w:rPr>
        <w:t xml:space="preserve">SJZ</w:t>
      </w:r>
      <w:r>
        <w:rPr/>
        <w:t xml:space="preserve">, 819–831.</w:t>
      </w:r>
    </w:p>
    <w:p>
      <w:pPr>
        <w:spacing w:after="240" w:line="240" w:lineRule="atLeast"/>
      </w:pPr>
      <w:r>
        <w:rPr/>
        <w:t xml:space="preserve">Humbel, C. (2024). «Corporate Foundations» en droit suisse: Création, financement et gouvernance de fondations d’entreprise. </w:t>
      </w:r>
      <w:r>
        <w:rPr>
          <w:i w:val="1"/>
          <w:iCs w:val="1"/>
        </w:rPr>
        <w:t xml:space="preserve">Jusletter</w:t>
      </w:r>
      <w:r>
        <w:rPr/>
        <w:t xml:space="preserve">. Retrieved from https://jusletter.weblaw.ch/juslissues/2024/1202/--corporate-foundati_330a449539.html__ONCE&amp;login=false</w:t>
      </w:r>
    </w:p>
    <w:p>
      <w:pPr>
        <w:spacing w:after="240" w:line="240" w:lineRule="atLeast"/>
      </w:pPr>
      <w:r>
        <w:rPr/>
        <w:t xml:space="preserve">Humbel, C., &amp; Marioli, M. (2023). Conflitti d’interessi secondo il nuovo diritto della società anonima. </w:t>
      </w:r>
      <w:r>
        <w:rPr>
          <w:i w:val="1"/>
          <w:iCs w:val="1"/>
        </w:rPr>
        <w:t xml:space="preserve">Novità Fiscali</w:t>
      </w:r>
      <w:r>
        <w:rPr/>
        <w:t xml:space="preserve">, 198–204.</w:t>
      </w:r>
    </w:p>
    <w:p>
      <w:pPr>
        <w:spacing w:after="240" w:line="240" w:lineRule="atLeast"/>
      </w:pPr>
      <w:r>
        <w:rPr/>
        <w:t xml:space="preserve">Humbel, C., &amp; Eckert, F. (2023). Decentralized Exchanges: Grundlagen, Risiken und ausgewählte aufsichtsrechtliche Aspekte. </w:t>
      </w:r>
      <w:r>
        <w:rPr>
          <w:i w:val="1"/>
          <w:iCs w:val="1"/>
        </w:rPr>
        <w:t xml:space="preserve">SZW</w:t>
      </w:r>
      <w:r>
        <w:rPr/>
        <w:t xml:space="preserve">, 10–23.</w:t>
      </w:r>
    </w:p>
    <w:p>
      <w:pPr>
        <w:spacing w:after="240" w:line="240" w:lineRule="atLeast"/>
      </w:pPr>
      <w:r>
        <w:rPr/>
        <w:t xml:space="preserve">Humbel, C., &amp; Sethe, R. (2023). Entwicklungen im Gesellschafts- und Wertpapierrecht | Le point sur le droit des sociétés et des papiers-valeurs: Berichtszeitraum August 2022 bis Juli 2023. </w:t>
      </w:r>
      <w:r>
        <w:rPr>
          <w:i w:val="1"/>
          <w:iCs w:val="1"/>
        </w:rPr>
        <w:t xml:space="preserve">SJZ</w:t>
      </w:r>
      <w:r>
        <w:rPr/>
        <w:t xml:space="preserve">, 1049–1059.</w:t>
      </w:r>
    </w:p>
    <w:p>
      <w:pPr>
        <w:spacing w:after="240" w:line="240" w:lineRule="atLeast"/>
      </w:pPr>
      <w:r>
        <w:rPr/>
        <w:t xml:space="preserve">Humbel, C., &amp; Jakob, D. (2023). Foundation Governance in Anlagestiftungen. </w:t>
      </w:r>
      <w:r>
        <w:rPr>
          <w:i w:val="1"/>
          <w:iCs w:val="1"/>
        </w:rPr>
        <w:t xml:space="preserve">Zeitschrift für Gesellschafts- und Kapitalmarktrecht (GesKR)</w:t>
      </w:r>
      <w:r>
        <w:rPr/>
        <w:t xml:space="preserve">, 324–332.</w:t>
      </w:r>
    </w:p>
    <w:p>
      <w:pPr>
        <w:spacing w:after="240" w:line="240" w:lineRule="atLeast"/>
      </w:pPr>
      <w:r>
        <w:rPr/>
        <w:t xml:space="preserve">Humbel, C. (2022). Decentralized Finance – A New Frontier in Global Financial Markets Regulation. </w:t>
      </w:r>
      <w:r>
        <w:rPr>
          <w:i w:val="1"/>
          <w:iCs w:val="1"/>
        </w:rPr>
        <w:t xml:space="preserve">Zeitschrift für Gesellschafts- und Kapitalmarktrecht (GesKR)</w:t>
      </w:r>
      <w:r>
        <w:rPr/>
        <w:t xml:space="preserve">, 9–25.</w:t>
      </w:r>
    </w:p>
    <w:p>
      <w:pPr>
        <w:spacing w:after="240" w:line="240" w:lineRule="atLeast"/>
      </w:pPr>
      <w:r>
        <w:rPr/>
        <w:t xml:space="preserve">Humbel, C., &amp; Jakob, D. (2022). Die Eintragung existierender Familienstiftungen: Ein Blick auf die bestehende Registerpraxis und eine Besprechung des Urteils BVGer B-951/2020 vom 16. August 2021. </w:t>
      </w:r>
      <w:r>
        <w:rPr>
          <w:i w:val="1"/>
          <w:iCs w:val="1"/>
        </w:rPr>
        <w:t xml:space="preserve">SJZ</w:t>
      </w:r>
      <w:r>
        <w:rPr/>
        <w:t xml:space="preserve">, 736–744.</w:t>
      </w:r>
    </w:p>
    <w:p>
      <w:pPr>
        <w:spacing w:after="240" w:line="240" w:lineRule="atLeast"/>
      </w:pPr>
      <w:r>
        <w:rPr/>
        <w:t xml:space="preserve">Humbel, C., &amp; Sethe, R. (2022). Entwicklungen im Gesellschafts- und Wertpapierrecht | Le point sur le droit des sociétés et des papiers-valeurs: Berichtszeitraum August 2021 bis August 2022. </w:t>
      </w:r>
      <w:r>
        <w:rPr>
          <w:i w:val="1"/>
          <w:iCs w:val="1"/>
        </w:rPr>
        <w:t xml:space="preserve">SJZ</w:t>
      </w:r>
      <w:r>
        <w:rPr/>
        <w:t xml:space="preserve">, 1017–1026.</w:t>
      </w:r>
    </w:p>
    <w:p>
      <w:pPr>
        <w:spacing w:after="240" w:line="240" w:lineRule="atLeast"/>
      </w:pPr>
      <w:r>
        <w:rPr/>
        <w:t xml:space="preserve">Humbel, C. (2022). La restituzione di prestazioni secondo il nuovo art. 678 CO e il suo ruolo nel sistema delle operazioni con parti correlate. </w:t>
      </w:r>
      <w:r>
        <w:rPr>
          <w:i w:val="1"/>
          <w:iCs w:val="1"/>
        </w:rPr>
        <w:t xml:space="preserve">sui generis</w:t>
      </w:r>
      <w:r>
        <w:rPr/>
        <w:t xml:space="preserve">, 5–14.</w:t>
      </w:r>
    </w:p>
    <w:p>
      <w:pPr>
        <w:spacing w:after="240" w:line="240" w:lineRule="atLeast"/>
      </w:pPr>
      <w:r>
        <w:rPr/>
        <w:t xml:space="preserve">Humbel, C. (2022). L’azione di restituzione nell’ambito della revisione del Codice delle obbligazioni. </w:t>
      </w:r>
      <w:r>
        <w:rPr>
          <w:i w:val="1"/>
          <w:iCs w:val="1"/>
        </w:rPr>
        <w:t xml:space="preserve">Novità Fiscali</w:t>
      </w:r>
      <w:r>
        <w:rPr/>
        <w:t xml:space="preserve">, 300–304.</w:t>
      </w:r>
    </w:p>
    <w:p>
      <w:pPr>
        <w:spacing w:after="240" w:line="240" w:lineRule="atLeast"/>
      </w:pPr>
      <w:r>
        <w:rPr/>
        <w:t xml:space="preserve">Humbel, C., Jakob, D., &amp; Abramova, I. (2021). Das neue Rechtsinstitut der Erbstiftung in Russland – Ein Überblick: Unter besonderer Berücksichtigung des neuen Privatstiftungsrechts vom 9. Juni 2021. </w:t>
      </w:r>
      <w:r>
        <w:rPr>
          <w:i w:val="1"/>
          <w:iCs w:val="1"/>
        </w:rPr>
        <w:t xml:space="preserve">successio</w:t>
      </w:r>
      <w:r>
        <w:rPr/>
        <w:t xml:space="preserve">, 315–325.</w:t>
      </w:r>
    </w:p>
    <w:p>
      <w:pPr>
        <w:spacing w:after="240" w:line="240" w:lineRule="atLeast"/>
      </w:pPr>
      <w:r>
        <w:rPr/>
        <w:t xml:space="preserve">Humbel, C. (2021). Investitori qualificati secondo la modifica della Legge sugli investimenti collettivi di capitale. </w:t>
      </w:r>
      <w:r>
        <w:rPr>
          <w:i w:val="1"/>
          <w:iCs w:val="1"/>
        </w:rPr>
        <w:t xml:space="preserve">Novità Fiscali</w:t>
      </w:r>
      <w:r>
        <w:rPr/>
        <w:t xml:space="preserve">, 448–454.</w:t>
      </w:r>
    </w:p>
    <w:p>
      <w:pPr>
        <w:spacing w:after="240" w:line="240" w:lineRule="atLeast"/>
      </w:pPr>
      <w:r>
        <w:rPr/>
        <w:t xml:space="preserve">Humbel, C., &amp; Brugger, L. (2021). NPOs und die Bekämpfung der Terrorismusfinanzierung – Überlegungen zu den Neuerungen im Schweizer Vereinsrecht. </w:t>
      </w:r>
      <w:r>
        <w:rPr>
          <w:i w:val="1"/>
          <w:iCs w:val="1"/>
        </w:rPr>
        <w:t xml:space="preserve">Zeitschrift für das Recht der Non Profit Organisationen (npoR)</w:t>
      </w:r>
      <w:r>
        <w:rPr/>
        <w:t xml:space="preserve">, 182–186.</w:t>
      </w:r>
    </w:p>
    <w:p>
      <w:pPr>
        <w:spacing w:after="240" w:line="240" w:lineRule="atLeast"/>
      </w:pPr>
      <w:r>
        <w:rPr/>
        <w:t xml:space="preserve">Humbel, C. (2021). Organisierte Handelssysteme in der Schweiz – Quo vadis? Handlungsspielräume de lege lata und Gestaltungsoptionen de lege ferenda im Lichte aktueller Entwicklungen. </w:t>
      </w:r>
      <w:r>
        <w:rPr>
          <w:i w:val="1"/>
          <w:iCs w:val="1"/>
        </w:rPr>
        <w:t xml:space="preserve">Zeitschrift für Gesellschafts- und Kapitalmarktrecht (GesKR)</w:t>
      </w:r>
      <w:r>
        <w:rPr/>
        <w:t xml:space="preserve">, 25–41.</w:t>
      </w:r>
    </w:p>
    <w:p>
      <w:pPr>
        <w:spacing w:after="240" w:line="240" w:lineRule="atLeast"/>
      </w:pPr>
      <w:r>
        <w:rPr/>
        <w:t xml:space="preserve">Humbel, C., &amp; van Gammeren, T. (2021). SPACs: The Swiss Capital Markets Perspective. </w:t>
      </w:r>
      <w:r>
        <w:rPr>
          <w:i w:val="1"/>
          <w:iCs w:val="1"/>
        </w:rPr>
        <w:t xml:space="preserve">Swiss Capital Markets Law (CapLaw)</w:t>
      </w:r>
      <w:r>
        <w:rPr/>
        <w:t xml:space="preserve">, 9–16.</w:t>
      </w:r>
    </w:p>
    <w:p>
      <w:pPr>
        <w:spacing w:after="240" w:line="240" w:lineRule="atLeast"/>
      </w:pPr>
      <w:r>
        <w:rPr/>
        <w:t xml:space="preserve">Humbel, C., &amp; Gerhard, F. (2018). Cornerstone Investors in IPOs. </w:t>
      </w:r>
      <w:r>
        <w:rPr>
          <w:i w:val="1"/>
          <w:iCs w:val="1"/>
        </w:rPr>
        <w:t xml:space="preserve">Zeitschrift für Gesellschafts- und Kapitalmarktrecht (GesKR)</w:t>
      </w:r>
      <w:r>
        <w:rPr/>
        <w:t xml:space="preserve">, 257–274.</w:t>
      </w:r>
    </w:p>
    <w:p>
      <w:pPr>
        <w:spacing w:after="240" w:line="240" w:lineRule="atLeast"/>
      </w:pPr>
      <w:r>
        <w:rPr/>
        <w:t xml:space="preserve">Humbel, C., &amp; Brugger, L. (2017). Massnahmen zur Bekämpfung von Terrorismusfinanzierung im NPO-Sektor: Unter besonderer Berücksichtigung des Vierten GAFI-Länderexamens der Schweiz. </w:t>
      </w:r>
      <w:r>
        <w:rPr>
          <w:i w:val="1"/>
          <w:iCs w:val="1"/>
        </w:rPr>
        <w:t xml:space="preserve">AJP</w:t>
      </w:r>
      <w:r>
        <w:rPr/>
        <w:t xml:space="preserve">, 739–751.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Book Section</w:t>
      </w:r>
    </w:p>
    <w:p>
      <w:pPr>
        <w:spacing w:after="240" w:line="240" w:lineRule="atLeast"/>
      </w:pPr>
      <w:r>
        <w:rPr/>
        <w:t xml:space="preserve">Humbel, C. (2026). Appendix 20 - Switzerland. In G’Sell Florence (Ed.), </w:t>
      </w:r>
      <w:r>
        <w:rPr>
          <w:i w:val="1"/>
          <w:iCs w:val="1"/>
        </w:rPr>
        <w:t xml:space="preserve">Balancing Code and Law: Governance and Policy Challenges of Blockchain</w:t>
      </w:r>
      <w:r>
        <w:rPr/>
        <w:t xml:space="preserve"> (pp. 439–443). Stanford (CA): Stanford University.</w:t>
      </w:r>
    </w:p>
    <w:p>
      <w:pPr>
        <w:spacing w:after="240" w:line="240" w:lineRule="atLeast"/>
      </w:pPr>
      <w:r>
        <w:rPr/>
        <w:t xml:space="preserve">Humbel, C. (2025). From social enterprises to sustainable enterprises. In Neri-Castracane Giulia &amp; Ugazio Giuseppe (Eds.), </w:t>
      </w:r>
      <w:r>
        <w:rPr>
          <w:i w:val="1"/>
          <w:iCs w:val="1"/>
        </w:rPr>
        <w:t xml:space="preserve">Multidisciplinary Perspectives in Philanthropy</w:t>
      </w:r>
      <w:r>
        <w:rPr/>
        <w:t xml:space="preserve"> (pp. 229–247). London: Routledge.</w:t>
      </w:r>
    </w:p>
    <w:p>
      <w:pPr>
        <w:spacing w:after="240" w:line="240" w:lineRule="atLeast"/>
      </w:pPr>
      <w:r>
        <w:rPr/>
        <w:t xml:space="preserve">Humbel, C. (2025). Integrating Decentralized Finance Mechanisms with DAOs: Decentralized Exchanges between Liquidity and Autonomous Governance. In Guillaume Florence &amp; Riva Sven (Eds.), </w:t>
      </w:r>
      <w:r>
        <w:rPr>
          <w:i w:val="1"/>
          <w:iCs w:val="1"/>
        </w:rPr>
        <w:t xml:space="preserve">Decentralized Autonomous Organizations in the Legal Landscape: From Decentralized Governance to Legal Frontiers</w:t>
      </w:r>
      <w:r>
        <w:rPr/>
        <w:t xml:space="preserve"> (pp. 328–346). Cheltenham/Northampton: Edward Elgar.</w:t>
      </w:r>
    </w:p>
    <w:p>
      <w:pPr>
        <w:spacing w:after="240" w:line="240" w:lineRule="atLeast"/>
      </w:pPr>
      <w:r>
        <w:rPr/>
        <w:t xml:space="preserve">Humbel, C. (2022). Finanzmarktrecht, Vertrauen und die «permanente Krise»: Eine methodenpluralistische Untersuchung. In Lehner Irina, Rausch Caroline, Schneider Lea Ina &amp; Stauffer Anna Elisa (Eds.), </w:t>
      </w:r>
      <w:r>
        <w:rPr>
          <w:i w:val="1"/>
          <w:iCs w:val="1"/>
        </w:rPr>
        <w:t xml:space="preserve">Recht in der Krise</w:t>
      </w:r>
      <w:r>
        <w:rPr/>
        <w:t xml:space="preserve"> (Vol. 23, pp. 49–66). Zürich: Sui generis.</w:t>
      </w:r>
    </w:p>
    <w:p>
      <w:pPr>
        <w:spacing w:after="240" w:line="240" w:lineRule="atLeast"/>
      </w:pPr>
      <w:r>
        <w:rPr/>
        <w:t xml:space="preserve">Humbel, C. (2017). Beyond Human Response Time – Prävention und Freiheitlichkeit im Hochfrequenzhandel. In Coninx Anna, Ege Gian &amp; Mausbach Julian (Eds.), </w:t>
      </w:r>
      <w:r>
        <w:rPr>
          <w:i w:val="1"/>
          <w:iCs w:val="1"/>
        </w:rPr>
        <w:t xml:space="preserve">Prävention und freiheitliche Rechtsordnung</w:t>
      </w:r>
      <w:r>
        <w:rPr/>
        <w:t xml:space="preserve"> (Vol. 18, pp. 349–380). Zürich/St. Gallen: Dike.</w:t>
      </w:r>
    </w:p>
    <w:p>
      <w:pPr>
        <w:spacing w:after="240" w:line="240" w:lineRule="atLeast"/>
      </w:pPr>
      <w:r>
        <w:rPr/>
        <w:t xml:space="preserve">Humbel, C., &amp; Brugger, L. (2017). Prävention der Terrorismusfinanzierung im Bereich der Non-Profit-Organsations: Unter besonderer Berücksichtigung der Empfehlungen der GAFI. In Coninx Anna, Ege Gian &amp; Mausbach Julian (Eds.), </w:t>
      </w:r>
      <w:r>
        <w:rPr>
          <w:i w:val="1"/>
          <w:iCs w:val="1"/>
        </w:rPr>
        <w:t xml:space="preserve">Prävention und freiheitliche Rechtsordnung</w:t>
      </w:r>
      <w:r>
        <w:rPr/>
        <w:t xml:space="preserve"> (Vol. 18, pp. 245–276). Zürich/St. Gallen: Dike.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Article in Public Media</w:t>
      </w:r>
    </w:p>
    <w:p>
      <w:pPr>
        <w:spacing w:after="240" w:line="240" w:lineRule="atLeast"/>
      </w:pPr>
      <w:r>
        <w:rPr/>
        <w:t xml:space="preserve">Baumgart, M., Humbel, C., &amp; Schreiber, M. (11 June 2026). Herausgefordertes Recht. </w:t>
      </w:r>
      <w:r>
        <w:rPr>
          <w:i w:val="1"/>
          <w:iCs w:val="1"/>
        </w:rPr>
        <w:t xml:space="preserve">Cogito - Das Wissensmagazin der Universität Luzern</w:t>
      </w:r>
      <w:r>
        <w:rPr/>
        <w:t xml:space="preserve">, (16/2026), 18–20.</w:t>
      </w:r>
    </w:p>
    <w:p>
      <w:pPr>
        <w:spacing w:after="240" w:line="240" w:lineRule="atLeast"/>
      </w:pPr>
      <w:r>
        <w:rPr/>
        <w:t xml:space="preserve">Baumgart, M., Humbel, C., &amp; Schreiber, M. (15 June 2026). Herausgefordertes Recht. </w:t>
      </w:r>
      <w:r>
        <w:rPr>
          <w:i w:val="1"/>
          <w:iCs w:val="1"/>
        </w:rPr>
        <w:t xml:space="preserve">Cogito</w:t>
      </w:r>
      <w:r>
        <w:rPr/>
        <w:t xml:space="preserve">. Retrieved from https://www.unilu.ch/magazin/artikel/herausgefordertes-recht/</w:t>
      </w:r>
    </w:p>
    <w:p>
      <w:pPr>
        <w:spacing w:after="240" w:line="240" w:lineRule="atLeast"/>
      </w:pPr>
      <w:r>
        <w:rPr/>
        <w:t xml:space="preserve">Humbel, C. (15 April 2026). Switzerland’s New Stablecoin Rules: A House with Solid Foundations, but Is There Room Enough for the Tenants? </w:t>
      </w:r>
      <w:r>
        <w:rPr>
          <w:i w:val="1"/>
          <w:iCs w:val="1"/>
        </w:rPr>
        <w:t xml:space="preserve">CV VC Crypto Valley Top 50 &amp; Ecosystem Report</w:t>
      </w:r>
      <w:r>
        <w:rPr/>
        <w:t xml:space="preserve">, 85–86.</w:t>
      </w:r>
    </w:p>
    <w:p>
      <w:pPr>
        <w:spacing w:after="240" w:line="240" w:lineRule="atLeast"/>
      </w:pPr>
      <w:r>
        <w:rPr/>
        <w:t xml:space="preserve">Humbel, C., &amp; Brugger, L. (15 April 2021). GwG-Revision, Risiko der Terrorfinanzierung durch NPOs: Verschärfungen im Vereinsrecht. </w:t>
      </w:r>
      <w:r>
        <w:rPr>
          <w:i w:val="1"/>
          <w:iCs w:val="1"/>
        </w:rPr>
        <w:t xml:space="preserve">NZZ</w:t>
      </w:r>
      <w:r>
        <w:rPr/>
        <w:t xml:space="preserve">, 18.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Contribution for Commentary</w:t>
      </w:r>
    </w:p>
    <w:p>
      <w:pPr>
        <w:spacing w:after="240" w:line="240" w:lineRule="atLeast"/>
      </w:pPr>
      <w:r>
        <w:rPr/>
        <w:t xml:space="preserve">Humbel, C. (2026). Art. 1-5 ZGB, Vor Art. 1-4 SchlT ZGB, Art. 1-4 SchlT ZGB, Art. 51-54 SchlT ZGB. In Büchler Andrea &amp; Jakob Dominique (Eds.), </w:t>
      </w:r>
      <w:r>
        <w:rPr>
          <w:i w:val="1"/>
          <w:iCs w:val="1"/>
        </w:rPr>
        <w:t xml:space="preserve">Kurzkommentar ZGB, Zivilgesetzbuch</w:t>
      </w:r>
      <w:r>
        <w:rPr/>
        <w:t xml:space="preserve"> (3. Auflage). Basel: Helbing Lichtenhahn.</w:t>
      </w:r>
    </w:p>
    <w:p>
      <w:pPr>
        <w:spacing w:after="240" w:line="240" w:lineRule="atLeast"/>
      </w:pPr>
      <w:r>
        <w:rPr/>
        <w:t xml:space="preserve">Humbel, C., &amp; Brugger, L. (2025). Art. 85–86c ZGB. In Güggi Nils &amp; von Orelli Lukas (Eds.), </w:t>
      </w:r>
      <w:r>
        <w:rPr>
          <w:i w:val="1"/>
          <w:iCs w:val="1"/>
        </w:rPr>
        <w:t xml:space="preserve">OnlineKommentar</w:t>
      </w:r>
      <w:r>
        <w:rPr/>
        <w:t xml:space="preserve">. Retrieved from https://onlinekommentar.ch/de/kommentare/zgb</w:t>
      </w:r>
    </w:p>
    <w:p>
      <w:pPr>
        <w:spacing w:after="240" w:line="240" w:lineRule="atLeast"/>
      </w:pPr>
      <w:r>
        <w:rPr/>
        <w:t xml:space="preserve">Humbel, C., &amp; Brugger, L. (2025). Art. 87, 335 ZGB. In Güggi Nils &amp; von Orelli Lukas (Eds.), </w:t>
      </w:r>
      <w:r>
        <w:rPr>
          <w:i w:val="1"/>
          <w:iCs w:val="1"/>
        </w:rPr>
        <w:t xml:space="preserve">OnlineKommentar</w:t>
      </w:r>
      <w:r>
        <w:rPr/>
        <w:t xml:space="preserve">. Retrieved from https://onlinekommentar.ch/de/kommentare/zgb</w:t>
      </w:r>
    </w:p>
    <w:p>
      <w:pPr>
        <w:spacing w:after="240" w:line="240" w:lineRule="atLeast"/>
      </w:pPr>
      <w:r>
        <w:rPr/>
        <w:t xml:space="preserve">Humbel, C., &amp; Brugger, L. (2025). Art. 88/89 ZGB. In Güggi Nils &amp; von Orelli Lukas (Eds.), </w:t>
      </w:r>
      <w:r>
        <w:rPr>
          <w:i w:val="1"/>
          <w:iCs w:val="1"/>
        </w:rPr>
        <w:t xml:space="preserve">OnlineKommentar</w:t>
      </w:r>
      <w:r>
        <w:rPr/>
        <w:t xml:space="preserve">. Retrieved from https://onlinekommentar.ch/de/kommentare/zgb</w:t>
      </w:r>
    </w:p>
    <w:p>
      <w:pPr>
        <w:spacing w:after="240" w:line="240" w:lineRule="atLeast"/>
      </w:pPr>
      <w:r>
        <w:rPr/>
        <w:t xml:space="preserve">Sethe, R., &amp; Humbel, C. (2025). Vor Art. 620–647, Art. 620–647, Vor 650–653v, Art. 650–653v OR. In Wildhaber Isabelle, Häusermann Daniel &amp; Honsell Heinrich (Eds.), </w:t>
      </w:r>
      <w:r>
        <w:rPr>
          <w:i w:val="1"/>
          <w:iCs w:val="1"/>
        </w:rPr>
        <w:t xml:space="preserve">Kurzkommentar OR, Obligationenrecht</w:t>
      </w:r>
      <w:r>
        <w:rPr/>
        <w:t xml:space="preserve"> (2. Auflage). Basel: Helbing Lichtenhahn.</w:t>
      </w:r>
    </w:p>
    <w:p>
      <w:pPr>
        <w:spacing w:after="240" w:line="240" w:lineRule="atLeast"/>
      </w:pPr>
      <w:r>
        <w:rPr/>
        <w:t xml:space="preserve">Humbel, C., &amp; Brugger, L. (2024). Art. 52, 57 ZGB. In Güggi Nils &amp; von Orelli Lukas (Eds.), </w:t>
      </w:r>
      <w:r>
        <w:rPr>
          <w:i w:val="1"/>
          <w:iCs w:val="1"/>
        </w:rPr>
        <w:t xml:space="preserve">OnlineKommentar</w:t>
      </w:r>
      <w:r>
        <w:rPr/>
        <w:t xml:space="preserve">. Retrieved from https://onlinekommentar.ch/de/kommentare/zgb</w:t>
      </w:r>
    </w:p>
    <w:p>
      <w:pPr>
        <w:spacing w:after="240" w:line="240" w:lineRule="atLeast"/>
      </w:pPr>
      <w:r>
        <w:rPr/>
        <w:t xml:space="preserve">Humbel, C. (2023). Art. 53, 54/55, 56, 58, 59 ZGB. In Güggi Nils &amp; von Orelli Lukas (Eds.), </w:t>
      </w:r>
      <w:r>
        <w:rPr>
          <w:i w:val="1"/>
          <w:iCs w:val="1"/>
        </w:rPr>
        <w:t xml:space="preserve">OnlineKommentar</w:t>
      </w:r>
      <w:r>
        <w:rPr/>
        <w:t xml:space="preserve">. Retrieved from https://onlinekommentar.ch/de/kommentare/zgb</w:t>
      </w:r>
    </w:p>
    <w:p>
      <w:pPr>
        <w:spacing w:after="240" w:line="240" w:lineRule="atLeast"/>
      </w:pPr>
      <w:r>
        <w:rPr/>
        <w:t xml:space="preserve">Humbel, C., &amp; Brugger, L. (2023). Art. 84 ZGB. In Güggi Nils &amp; von Orelli Lukas (Eds.), </w:t>
      </w:r>
      <w:r>
        <w:rPr>
          <w:i w:val="1"/>
          <w:iCs w:val="1"/>
        </w:rPr>
        <w:t xml:space="preserve">OnlineKommentar</w:t>
      </w:r>
      <w:r>
        <w:rPr/>
        <w:t xml:space="preserve">. Retrieved from https://onlinekommentar.ch/de/kommentare/zgb</w:t>
      </w:r>
    </w:p>
    <w:p>
      <w:pPr>
        <w:spacing w:after="240" w:line="240" w:lineRule="atLeast"/>
      </w:pPr>
      <w:r>
        <w:rPr/>
        <w:t xml:space="preserve">Humbel, C., &amp; Schneuwly, A. M. (2023). Gesellschaftsformen im Sportorganisationsrecht. In Schneuwly Anne Mirjam, Strub Yael Nadja &amp; Koller Trunz Mirjam (Eds.), </w:t>
      </w:r>
      <w:r>
        <w:rPr>
          <w:i w:val="1"/>
          <w:iCs w:val="1"/>
        </w:rPr>
        <w:t xml:space="preserve">Sportverbandskommentar: Allgemeiner Teil</w:t>
      </w:r>
      <w:r>
        <w:rPr/>
        <w:t xml:space="preserve">. Retrieved from https://sportverbandskommentar.ch/gesellschaftsformen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(working, research, annual) report, expert opinion, expertise</w:t>
      </w:r>
    </w:p>
    <w:p>
      <w:pPr>
        <w:spacing w:after="240" w:line="240" w:lineRule="atLeast"/>
      </w:pPr>
      <w:r>
        <w:rPr/>
        <w:t xml:space="preserve">Sethe, R., Humbel, C., &amp; Marioli, M. (6 February 2026). </w:t>
      </w:r>
      <w:r>
        <w:rPr>
          <w:i w:val="1"/>
          <w:iCs w:val="1"/>
        </w:rPr>
        <w:t xml:space="preserve">Änderung des FINIG (Zahlungsmittelinstitute und Krypto-Institute) - Stellungnahme zur Vernehmlassung</w:t>
      </w:r>
      <w:r>
        <w:rPr/>
        <w:t xml:space="preserve">. Zug/Zürich.</w:t>
      </w:r>
    </w:p>
    <w:p>
      <w:pPr>
        <w:spacing w:after="240" w:line="240" w:lineRule="atLeast"/>
      </w:pPr>
      <w:r>
        <w:rPr/>
        <w:t xml:space="preserve">Ankenbrand, T., Bieri, D., Milojevic, J., Humbel, C., Kremer, B., Biellmann, S., … Wickihalder, S. (2026). </w:t>
      </w:r>
      <w:r>
        <w:rPr>
          <w:i w:val="1"/>
          <w:iCs w:val="1"/>
        </w:rPr>
        <w:t xml:space="preserve">Serving Machine Customers: Considerations for Financial Institutions</w:t>
      </w:r>
      <w:r>
        <w:rPr/>
        <w:t xml:space="preserve">. Zug/Rotkreuz.</w:t>
      </w:r>
    </w:p>
    <w:p>
      <w:pPr>
        <w:spacing w:after="240" w:line="240" w:lineRule="atLeast"/>
      </w:pPr>
      <w:r>
        <w:rPr/>
        <w:t xml:space="preserve">Neri-Castracane, G., Chenaux, J.-L., Peter, H., Humbel, C., Barba, G., Burckhardt, C., … Barbaro, R. (2023). </w:t>
      </w:r>
      <w:r>
        <w:rPr>
          <w:i w:val="1"/>
          <w:iCs w:val="1"/>
        </w:rPr>
        <w:t xml:space="preserve">Draft Ordinance on companies with the designation «sustainable enterprise (SE)» or «SE»</w:t>
      </w:r>
      <w:r>
        <w:rPr/>
        <w:t xml:space="preserve">. Retrieved from https://drive.google.com/drive/folders/1WebZjkMyIaf2jNXn0w1PTh7ZW9i7_N0S</w:t>
      </w:r>
    </w:p>
    <w:p>
      <w:pPr>
        <w:spacing w:after="240" w:line="240" w:lineRule="atLeast"/>
      </w:pPr>
      <w:r>
        <w:rPr/>
        <w:t xml:space="preserve">Humbel, C., Neri-Castracane, G., Chenaux, J.-L., Peter, H., Barba, G., Burckhardt, C., … Pfammatter, V. (2023). </w:t>
      </w:r>
      <w:r>
        <w:rPr>
          <w:i w:val="1"/>
          <w:iCs w:val="1"/>
        </w:rPr>
        <w:t xml:space="preserve">Entwurf einer Verordnung über Unternehmen mit dem Zusatz «nachhaltiges Un-ternehmen (NU)» oder «NU»</w:t>
      </w:r>
      <w:r>
        <w:rPr/>
        <w:t xml:space="preserve">. Retrieved from https://drive.google.com/drive/folders/1WebZjkMyIaf2jNXn0w1PTh7ZW9i7_N0S</w:t>
      </w:r>
    </w:p>
    <w:p>
      <w:pPr>
        <w:spacing w:after="240" w:line="240" w:lineRule="atLeast"/>
      </w:pPr>
      <w:r>
        <w:rPr/>
        <w:t xml:space="preserve">Humbel, C., Neri-Castracane, G., Chenaux, J.-L., Peter, H., Barba, G., Burckhardt, C., … Pfammatter, V. (2023). </w:t>
      </w:r>
      <w:r>
        <w:rPr>
          <w:i w:val="1"/>
          <w:iCs w:val="1"/>
        </w:rPr>
        <w:t xml:space="preserve">Legal Status for Sustainable Enterprises in Switzerland: White Paper from the group of legal experts</w:t>
      </w:r>
      <w:r>
        <w:rPr/>
        <w:t xml:space="preserve">. Retrieved from https://drive.google.com/drive/folders/1WebZjkMyIaf2jNXn0w1PTh7ZW9i7_N0S</w:t>
      </w:r>
    </w:p>
    <w:p>
      <w:pPr>
        <w:spacing w:after="240" w:line="240" w:lineRule="atLeast"/>
      </w:pPr>
      <w:r>
        <w:rPr/>
        <w:t xml:space="preserve">Humbel, C., Neri-Castracane, G., Chenaux, J.-L., Peter, H., Barba, G., Burckhardt, C., … Jaccard, M. (2023). </w:t>
      </w:r>
      <w:r>
        <w:rPr>
          <w:i w:val="1"/>
          <w:iCs w:val="1"/>
        </w:rPr>
        <w:t xml:space="preserve">Projet pour une Ordonnance relative aux entreprises portant la mention « entreprise durable (ED) » ou « ED »: White Paper der Gruppe der Rechts-Experten</w:t>
      </w:r>
      <w:r>
        <w:rPr/>
        <w:t xml:space="preserve">. Retrieved from https://drive.google.com/drive/folders/1WebZjkMyIaf2jNXn0w1PTh7ZW9i7_N0S</w:t>
      </w:r>
    </w:p>
    <w:p>
      <w:pPr>
        <w:spacing w:after="240" w:line="240" w:lineRule="atLeast"/>
      </w:pPr>
      <w:r>
        <w:rPr/>
        <w:t xml:space="preserve">Humbel, C., Neri-Castracane, G., Chenaux, J.-L., Peter, H., Barba, G., Burckhardt, C., … Pfammatter, V. (2023). </w:t>
      </w:r>
      <w:r>
        <w:rPr>
          <w:i w:val="1"/>
          <w:iCs w:val="1"/>
        </w:rPr>
        <w:t xml:space="preserve">Rechtsstatus für nachhaltige Unternehmen in der Schweiz: White Paper der Gruppe der Rechts-Experten</w:t>
      </w:r>
      <w:r>
        <w:rPr/>
        <w:t xml:space="preserve">. Retrieved from https://drive.google.com/drive/folders/1WebZjkMyIaf2jNXn0w1PTh7ZW9i7_N0S</w:t>
      </w:r>
    </w:p>
    <w:p>
      <w:pPr>
        <w:spacing w:after="240" w:line="240" w:lineRule="atLeast"/>
      </w:pPr>
      <w:r>
        <w:rPr/>
        <w:t xml:space="preserve">Humbel, C., Neri-Castracane, G., Chenaux, J.-L., Peter, H., Barba, G., Burckhardt, C., … Pfammatter, V. (2023). </w:t>
      </w:r>
      <w:r>
        <w:rPr>
          <w:i w:val="1"/>
          <w:iCs w:val="1"/>
        </w:rPr>
        <w:t xml:space="preserve">Statut juridique d’entreprise durable en Suisse: Livre blanc du groupe d’experts juridiques</w:t>
      </w:r>
      <w:r>
        <w:rPr/>
        <w:t xml:space="preserve">. Retrieved from https://drive.google.com/drive/folders/1WebZjkMyIaf2jNXn0w1PTh7ZW9i7_N0S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Interview</w:t>
      </w:r>
    </w:p>
    <w:p>
      <w:pPr>
        <w:spacing w:after="240" w:line="240" w:lineRule="atLeast"/>
      </w:pPr>
      <w:r>
        <w:rPr/>
        <w:t xml:space="preserve">Humbel, C., &amp; Wittkämper, T. (25 March 2024). Rechtliche Rahmenbedingungen für Social Entrepreneurship in der Schweiz. </w:t>
      </w:r>
      <w:r>
        <w:rPr>
          <w:i w:val="1"/>
          <w:iCs w:val="1"/>
        </w:rPr>
        <w:t xml:space="preserve">SENS Suisse Magazin</w:t>
      </w:r>
      <w:r>
        <w:rPr/>
        <w:t xml:space="preserve">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Review, Editorial, Letter in a Journal</w:t>
      </w:r>
    </w:p>
    <w:p>
      <w:pPr>
        <w:spacing w:after="240" w:line="240" w:lineRule="atLeast"/>
      </w:pPr>
      <w:r>
        <w:rPr/>
        <w:t xml:space="preserve">Humbel, C., Baumgart, M., &amp; Schreiber, M. (February 2026). Blockchain-Forschung im „Crypto Valley“: Das Zug Institute for Blockchain Research. </w:t>
      </w:r>
      <w:r>
        <w:rPr>
          <w:i w:val="1"/>
          <w:iCs w:val="1"/>
        </w:rPr>
        <w:t xml:space="preserve">MMR - Zeitschrift für das Recht der Digitalisierung, Datenwirtschaft und IT</w:t>
      </w:r>
      <w:r>
        <w:rPr/>
        <w:t xml:space="preserve">, (2), 89–90.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Teaching Materials</w:t>
      </w:r>
    </w:p>
    <w:p>
      <w:pPr>
        <w:spacing w:after="240" w:line="240" w:lineRule="atLeast"/>
      </w:pPr>
      <w:r>
        <w:rPr/>
        <w:t xml:space="preserve">Humbel, C. (2026). </w:t>
      </w:r>
      <w:r>
        <w:rPr>
          <w:i w:val="1"/>
          <w:iCs w:val="1"/>
        </w:rPr>
        <w:t xml:space="preserve">Einführung in die Rechtswissenschaft und das juristische Arbeiten (ERJA), Teil II: Einführung in das juristische Arbeiten: Skript und Leitfaden zur Vorlesung</w:t>
      </w:r>
      <w:r>
        <w:rPr/>
        <w:t xml:space="preserve">. Luzern.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Case Notes</w:t>
      </w:r>
    </w:p>
    <w:p>
      <w:pPr>
        <w:spacing w:after="240" w:line="240" w:lineRule="atLeast"/>
      </w:pPr>
      <w:r>
        <w:rPr/>
        <w:t xml:space="preserve">Humbel, C., &amp; Jakob, D. (2022). Die Eintragung existierender Familienstiftungen und die Änderungskompetenz des Stiftungsrats: Zugleich eine Besprechung des Urteils des Schweizer Bundesverwaltungsge-richts B-951/2020 vom 16.8.2021. </w:t>
      </w:r>
      <w:r>
        <w:rPr>
          <w:i w:val="1"/>
          <w:iCs w:val="1"/>
        </w:rPr>
        <w:t xml:space="preserve">Zeitschrift für das Recht der Non Profit Organisationen (npoR)</w:t>
      </w:r>
      <w:r>
        <w:rPr/>
        <w:t xml:space="preserve">, 119–122.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Working Paper</w:t>
      </w:r>
    </w:p>
    <w:p>
      <w:pPr>
        <w:spacing w:after="240" w:line="240" w:lineRule="atLeast"/>
      </w:pPr>
      <w:r>
        <w:rPr/>
        <w:t xml:space="preserve">Humbel, C., Niklaus, J., Merane, J., Nenadic, L., Ahmadi, S., Gao, Y., … Grupen, N. (2025). </w:t>
      </w:r>
      <w:r>
        <w:rPr>
          <w:i w:val="1"/>
          <w:iCs w:val="1"/>
        </w:rPr>
        <w:t xml:space="preserve">SwiLTra-Bench: The Swiss Legal Translation Benchmark</w:t>
      </w:r>
      <w:r>
        <w:rPr/>
        <w:t xml:space="preserve">. Retrieved from https://arxiv.org/abs/2503.01372</w:t>
      </w:r>
    </w:p>
    <w:p>
      <w:pPr>
        <w:spacing w:after="240" w:line="240" w:lineRule="atLeast"/>
      </w:pPr>
      <w:r>
        <w:rPr/>
        <w:t xml:space="preserve">Humbel, C., &amp; Brugger, L. (2021). </w:t>
      </w:r>
      <w:r>
        <w:rPr>
          <w:i w:val="1"/>
          <w:iCs w:val="1"/>
        </w:rPr>
        <w:t xml:space="preserve">Financing of Terrorism through NPOs – Switzerland’s Approach to Tackle an Elusive Threat</w:t>
      </w:r>
      <w:r>
        <w:rPr/>
        <w:t xml:space="preserve">. Retrieved from https://www.law-school.de/fileadmin/content/law-school.de/de/units/inst_stiftungsrecht/pdf/Brugger_Humbel_Financing_of_Terrorism_through_NPOs_13_march_2021.pdf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Ass.-Prof. Dr. Claude Humbel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Ass.-Prof. Dr. Claude Humbel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