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Christoph Bauer</w:t>
      </w:r>
    </w:p>
    <w:p>
      <w:pPr>
        <w:spacing w:after="240" w:line="240" w:lineRule="atLeast"/>
      </w:pPr>
      <w:r>
        <w:t xml:space="preserve">ORCID: 0000-0002-5559-6644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Vermögensrechte und unkörperliche Rechtsobjekte, Immaterialgüterrechte, Bucheffekten, Register-Schuldbriefe und Registerwertrechte im Verhältnis zum Sachenrecht, Zürich/St.Gallen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Parteiwechsel im Vertrag: Vertragsübertragung und Vertragsübergang, Unter besonderer Berücksichtigung des allgemeinen Vertragsrechts und des Fusionsgesetzes, Zürich/St.Gallen 2010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Unberechtigter Besitz an Fahrnis im Erbgang, Fragen des gutgläubigen Erwerbs, der Ersitzung und der Verantwortlichkeit im Zusammenspiel von Erb- und Sachenrecht, in: Aktuelle Juristische Praxis 25/6/2016, pp. 783–802, https://doi.org/10.5281/zenodo.17467076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Rusch Arnold F.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Drohende Verjährung von Verlustscheinen, in: Aktuelle Juristische Praxis 24/10/2015, pp. 1409–1412, https://doi.org/10.5281/zenodo.17467078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Rüegger Vanessa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‘Welches Objekt prägt Deinen Alltag?’, in: ius inhouse, Juristische Fakultät der Universität Basel 27/2015, pp. 10–11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/</w:t>
      </w:r>
      <w:r>
        <w:rPr>
          <w:smallCaps w:val="1"/>
          <w:caps w:val="0"/>
        </w:rPr>
        <w:t xml:space="preserve">Rusch Arnold F.</w:t>
      </w:r>
      <w:r>
        <w:rPr/>
        <w:t xml:space="preserve">, Abgekürzte Gattungsvereinbarungen, in: recht 31/5/2013, pp. 209–223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Litigation &amp; Arbitration, in: Kellerhals Carrard (Ed.), Sustainable Finance in Switzerland, Adoption of a New Paradigm through Regulatory Change and Innovation, Zürich 2024, pp. 177–180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Rechtsweggarantie, Anspruch auf ein faires Verfahren, Rechtliches Gehör, Fristwahrung und Anforderungen an Eingaben und Beilagen, in: Haas, Ulrich/Marghitola, Reto (Eds.), Fachhandbuch Zivilprozessrecht, Expertenwissen für die Praxis, Zürich 2020, pp. 67–92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Miteigentum ‘dank’ Ehegattin und Bank, Auslegeordnung zu einseitig eigen- sowie fremdfinanziertem Miteigentum der Ehegatten bei Errungenschaftsbeteiligung aus Anlass von BGE 141 III 53, in: Fankhauser, Roland/Widmer Lüchinger, Corinne/Klingler, Rafael/Seiler, Benedikt (Eds.), Das Zivilrecht und seine Durchsetzung, Festschrift für Professor Thomas Sutter-Somm, Zürich 2016, pp. 777–792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513-529 OR, in: Widmer Lüchinger, Corinne/Oser, David (Eds.), Basler Kommentar zum Obligationenrecht I, 8th ed., Basel 2026, pp. 3427–3463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/</w:t>
      </w:r>
      <w:r>
        <w:rPr>
          <w:smallCaps w:val="1"/>
          <w:caps w:val="0"/>
        </w:rPr>
        <w:t xml:space="preserve">Sterchi Martin H.</w:t>
      </w:r>
      <w:r>
        <w:rPr/>
        <w:t xml:space="preserve">, Kommentierung von Art. 66-69 ZPO, Berner Kommentar zum schweizerischen Privatrecht, in: Aebi-Müller, Regina E./Müller, Christoph (Eds.), Berner Kommentar zum Zivilprozessordnung, 2nd ed., Vol. 1, Bern 2026, pp. 759–794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Kommentierung von Art. 683-688 OR, in: Wildhaber, Isabelle: Häusermann, Daniel/Honsell, Heinrich (Eds.), Kurzkommentar zum Obligationenrecht, 2nd ed., Basel 2026, pp. 2678–2704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/</w:t>
      </w:r>
      <w:r>
        <w:rPr>
          <w:smallCaps w:val="1"/>
          <w:caps w:val="0"/>
        </w:rPr>
        <w:t xml:space="preserve">Sterchi Martin H.</w:t>
      </w:r>
      <w:r>
        <w:rPr/>
        <w:t xml:space="preserve">, Kommentierung von Art. 91-103 ZPO, Berner Kommentar zum schweizerischen Privatrecht, in: Aebi-Müller, Regina E./Müller, Christoph (Eds.), Berner Kommentar zum Zivilprozessordnung, 2nd ed., Vol. 1, Bern 2026, pp. 1052–1139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Kut Ahmet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1-40g OR, in: Atamer, Yesim M./Furrer, Andreas (Eds.), Handkommentar zum Schweizer Privatrecht, Obligationenrecht Allgemeine Bestimmungen, Art. 1-183 OR, 4th ed., Zürich 2024, pp. 4–278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884-894 ZGB, in: Geiser, Thomas/Wolf, Stefan (Eds.), Basler Kommentar Zivilgesetzbuch II, 7th ed., Basel 2023, pp. 2227–2341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899-918 ZGB, in: Geiser, Thomas/Wolf, Stefan (Eds.), Basler Kommentar Zivilgesetzbuch II, Basel 2023, pp. 2365–2416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513-529 OR, in: Widmer Lüchinger, Corinne/Oser, David (Eds.), Basler Kommentar zum Obligationenrecht I, 7th ed., Basel 2020, pp. 3285–3322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884-894 ZGB, in: Geiser, Thomas/Wolf, Stefan (Eds.), Basler Kommentar Zivilgesetzbuch II, 6th ed., Basel 2019, pp. 2173–2286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Thomas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899-918 ZGB, in: Geiser, Thomas/Wolf, Stefan (Eds.), Basler Kommentar Zivilgesetzbuch II, 6th ed., Basel 2019, pp. 2313–2359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Bauer Christoph</w:t>
      </w:r>
      <w:r>
        <w:rPr/>
        <w:t xml:space="preserve">, Kommentierung von Art. 683-688 OR, in: Honsell, Heinrich (Ed.), Kurzkommentar zum Obligationenrecht, 1st ed., Basel 2014, pp. 2145–2166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Maurenbrecher Benedikt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31 und 32 BEG, in: Zobl, Dieter/Hess, Martin/Schott, Ansgar (Eds.), Kommentar zum Bucheffektengesetz (BEG) sowie zum HWpÜ und den relevanten Bestimmungen in OR und IPRG, Zürich 2013, pp. 442–515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Maizar Karim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Kommentierung von Art. 4 und 5 BEG, in: Zobl, Dieter/Hess, Martin/Schott, Ansgar (Eds.), Kommentar zum Bucheffektengesetz (BEG) sowie zum HWpÜ und den relevanten Bestimmungen in OR und IPRG, Zürich 2013, pp. 76–103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Molina Martin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Complex Commercial Litigation in Switzerland, London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Molina Martin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Complex Commercial Litigation in Switzerland, London 2022, pp. 123–139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Molina Martin</w:t>
      </w:r>
      <w:r>
        <w:rPr/>
        <w:t xml:space="preserve">/</w:t>
      </w:r>
      <w:r>
        <w:rPr>
          <w:smallCaps w:val="1"/>
          <w:caps w:val="0"/>
        </w:rPr>
        <w:t xml:space="preserve">Bauer Christoph</w:t>
      </w:r>
      <w:r>
        <w:rPr/>
        <w:t xml:space="preserve">, Complex Commercial Litigation in Switzerland, London 2021, pp. 115–123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Christoph Bauer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Christoph Bauer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