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rer. oec. Christian Philipp Rudolf Schmid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Beck, K., Kauer, L., Moser, T., &amp; Schmid, C. P. R. (2020). Improving risk-equalization in Switzerland: Effects of alternative reform proposals on reallocating public subsidies for hospitals. </w:t>
      </w:r>
      <w:r>
        <w:rPr>
          <w:i w:val="1"/>
          <w:iCs w:val="1"/>
        </w:rPr>
        <w:t xml:space="preserve">Health Policy</w:t>
      </w:r>
      <w:r>
        <w:rPr/>
        <w:t xml:space="preserve">, </w:t>
      </w:r>
      <w:r>
        <w:rPr>
          <w:i w:val="1"/>
          <w:iCs w:val="1"/>
        </w:rPr>
        <w:t xml:space="preserve">124</w:t>
      </w:r>
      <w:r>
        <w:rPr/>
        <w:t xml:space="preserve">, 1363–1367. https://doi.org/10.5281/zenodo.8020746</w:t>
      </w:r>
    </w:p>
    <w:p>
      <w:pPr>
        <w:spacing w:after="240" w:line="240" w:lineRule="atLeast"/>
      </w:pPr>
      <w:r>
        <w:rPr/>
        <w:t xml:space="preserve">Kaufmann, C., Schmid, C. P. R., &amp; Boes, S. (2017). Health insurance subsidies and deductible choice: Evidence from regional variation in subsidy schemes. </w:t>
      </w:r>
      <w:r>
        <w:rPr>
          <w:i w:val="1"/>
          <w:iCs w:val="1"/>
        </w:rPr>
        <w:t xml:space="preserve">Journal of Health Economics</w:t>
      </w:r>
      <w:r>
        <w:rPr/>
        <w:t xml:space="preserve">, </w:t>
      </w:r>
      <w:r>
        <w:rPr>
          <w:i w:val="1"/>
          <w:iCs w:val="1"/>
        </w:rPr>
        <w:t xml:space="preserve">55</w:t>
      </w:r>
      <w:r>
        <w:rPr/>
        <w:t xml:space="preserve">, 262–273. https://doi.org/https://doi.org/10.1016/j.jhealeco.2017.08.002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Schmid, C. P. R., Beck, K., &amp; Kauer, L. (2018). Health Plan Payment in Switzerland. In McGuire, T &amp; van Kleef, R. (Eds.), </w:t>
      </w:r>
      <w:r>
        <w:rPr>
          <w:i w:val="1"/>
          <w:iCs w:val="1"/>
        </w:rPr>
        <w:t xml:space="preserve">Risk Adjustment, Risk Sharing and Premium Regulation in Health Insurance Markets: Theory and Practice</w:t>
      </w:r>
      <w:r>
        <w:rPr/>
        <w:t xml:space="preserve"> (pp. 453–489). London, San Diego: Elsevier Publishing.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(working, research, annual) report, expert opinion, expertise</w:t>
      </w:r>
    </w:p>
    <w:p>
      <w:pPr>
        <w:spacing w:after="240" w:line="240" w:lineRule="atLeast"/>
      </w:pPr>
      <w:r>
        <w:rPr/>
        <w:t xml:space="preserve">Beck, K., Kauer, L., &amp; Schmid, C. P. R. (2018). </w:t>
      </w:r>
      <w:r>
        <w:rPr>
          <w:i w:val="1"/>
          <w:iCs w:val="1"/>
        </w:rPr>
        <w:t xml:space="preserve">Annual Report 2017 / Jahresbericht 2017: Jahresbericht des CSS Instituts für empirische Gesundheitsökonomie, Luzern</w:t>
      </w:r>
      <w:r>
        <w:rPr/>
        <w:t xml:space="preserve">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rer. oec. Christian Philipp Rudolf Schmid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rer. oec. Christian Philipp Rudolf Schmid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