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Bernhard Rütsche</w:t>
      </w:r>
    </w:p>
    <w:p>
      <w:pPr>
        <w:spacing w:after="240" w:line="240" w:lineRule="atLeast"/>
      </w:pPr>
      <w:r>
        <w:t xml:space="preserve">ORCID: 0009-0006-6987-5253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Aebi-Müller, R. E., Fellmann, W., Gächter, T., &amp; Rütsche, B. (2024). </w:t>
      </w:r>
      <w:r>
        <w:rPr>
          <w:i w:val="1"/>
          <w:iCs w:val="1"/>
        </w:rPr>
        <w:t xml:space="preserve">Arztrecht</w:t>
      </w:r>
      <w:r>
        <w:rPr/>
        <w:t xml:space="preserve"> (2. Aufl.). Bern: Stämpfli. Retrieved from https://staempflirecht.ch/arztrecht/ean-9783727231247</w:t>
      </w:r>
    </w:p>
    <w:p>
      <w:pPr>
        <w:spacing w:after="240" w:line="240" w:lineRule="atLeast"/>
      </w:pPr>
      <w:r>
        <w:rPr/>
        <w:t xml:space="preserve">Gächter, T., &amp; Rütsche, B. (2023). </w:t>
      </w:r>
      <w:r>
        <w:rPr>
          <w:i w:val="1"/>
          <w:iCs w:val="1"/>
        </w:rPr>
        <w:t xml:space="preserve">Gesundheitsrecht. Ein Grundriss für Studium und Praxis</w:t>
      </w:r>
      <w:r>
        <w:rPr/>
        <w:t xml:space="preserve"> (5., vollständig überarbeitete Auflage). Basel: Helbing Lichtenhahn Verlag.</w:t>
      </w:r>
    </w:p>
    <w:p>
      <w:pPr>
        <w:spacing w:after="240" w:line="240" w:lineRule="atLeast"/>
      </w:pPr>
      <w:r>
        <w:rPr/>
        <w:t xml:space="preserve">Diebold, N., &amp; Rütsche, B. (2023). </w:t>
      </w:r>
      <w:r>
        <w:rPr>
          <w:i w:val="1"/>
          <w:iCs w:val="1"/>
        </w:rPr>
        <w:t xml:space="preserve">Wettbewerbsrecht und Marktregulierung: Band 1: Grundlagen</w:t>
      </w:r>
      <w:r>
        <w:rPr/>
        <w:t xml:space="preserve">. Zürich/Genf: Schulthess Juristische Medien.</w:t>
      </w:r>
    </w:p>
    <w:p>
      <w:pPr>
        <w:spacing w:after="240" w:line="240" w:lineRule="atLeast"/>
      </w:pPr>
      <w:r>
        <w:rPr/>
        <w:t xml:space="preserve">Kiener, R., Rütsche, B., &amp; Kussin, M. (2021). </w:t>
      </w:r>
      <w:r>
        <w:rPr>
          <w:i w:val="1"/>
          <w:iCs w:val="1"/>
        </w:rPr>
        <w:t xml:space="preserve">Öffentliches Verfahrensrecht</w:t>
      </w:r>
      <w:r>
        <w:rPr/>
        <w:t xml:space="preserve"> (3. Aufl.). Zürich/St. Gallen: Dike.</w:t>
      </w:r>
    </w:p>
    <w:p>
      <w:pPr>
        <w:spacing w:after="240" w:line="240" w:lineRule="atLeast"/>
      </w:pPr>
      <w:r>
        <w:rPr/>
        <w:t xml:space="preserve">Gächter, T., &amp; Rütsche, B. (2018). </w:t>
      </w:r>
      <w:r>
        <w:rPr>
          <w:i w:val="1"/>
          <w:iCs w:val="1"/>
        </w:rPr>
        <w:t xml:space="preserve">Gesundheitsrecht. Ein Grundriss für Studium und Praxis</w:t>
      </w:r>
      <w:r>
        <w:rPr/>
        <w:t xml:space="preserve"> (4., vollständig überarbeitete Auflage). Basel: Helbing Lichtenhahn Verlag.</w:t>
      </w:r>
    </w:p>
    <w:p>
      <w:pPr>
        <w:spacing w:after="240" w:line="240" w:lineRule="atLeast"/>
      </w:pPr>
      <w:r>
        <w:rPr/>
        <w:t xml:space="preserve">Rütsche, B. (2017). </w:t>
      </w:r>
      <w:r>
        <w:rPr>
          <w:i w:val="1"/>
          <w:iCs w:val="1"/>
        </w:rPr>
        <w:t xml:space="preserve">Aufsicht im Bereich der Krankenzusatzversicherungen - Surveillance dans le domaine des assurances-maladie complémentaires</w:t>
      </w:r>
      <w:r>
        <w:rPr/>
        <w:t xml:space="preserve">. Zürich: Schulthess.</w:t>
      </w:r>
    </w:p>
    <w:p>
      <w:pPr>
        <w:spacing w:after="240" w:line="240" w:lineRule="atLeast"/>
      </w:pPr>
      <w:r>
        <w:rPr/>
        <w:t xml:space="preserve">Rütsche, B. (2017). </w:t>
      </w:r>
      <w:r>
        <w:rPr>
          <w:i w:val="1"/>
          <w:iCs w:val="1"/>
        </w:rPr>
        <w:t xml:space="preserve">Zusatzversicherte Leistungen von Spitälern - Prestations des hôpitaux couvertes par les assurances complémentaires. Zulässigkeit und Grenzen medizinischer Leistungsdifferenzierungen - Licéité et limites des différenciations médicales des prestations</w:t>
      </w:r>
      <w:r>
        <w:rPr/>
        <w:t xml:space="preserve">. Zürich: Schulthess.</w:t>
      </w:r>
    </w:p>
    <w:p>
      <w:pPr>
        <w:spacing w:after="240" w:line="240" w:lineRule="atLeast"/>
      </w:pPr>
      <w:r>
        <w:rPr/>
        <w:t xml:space="preserve">Aebi-Müller, R. E., Fellmann, W., Gächter, T., Rütsche, B., &amp; Tag, B. (2016). </w:t>
      </w:r>
      <w:r>
        <w:rPr>
          <w:i w:val="1"/>
          <w:iCs w:val="1"/>
        </w:rPr>
        <w:t xml:space="preserve">Arztrecht</w:t>
      </w:r>
      <w:r>
        <w:rPr/>
        <w:t xml:space="preserve">. Bern: Stämpfli.</w:t>
      </w:r>
    </w:p>
    <w:p>
      <w:pPr>
        <w:spacing w:after="240" w:line="240" w:lineRule="atLeast"/>
      </w:pPr>
      <w:r>
        <w:rPr/>
        <w:t xml:space="preserve">Rütsche, B. (2016). </w:t>
      </w:r>
      <w:r>
        <w:rPr>
          <w:i w:val="1"/>
          <w:iCs w:val="1"/>
        </w:rPr>
        <w:t xml:space="preserve">Spitalplanung und Privatspitäler - Planification hospitalière et cliniques privées. Aktuelle Rechtsfragen zur Umsetzung des KVG - Questions juridiques actuelles relatives à l’application de la LAMal aux cliniques privées (deutsch/französisch)</w:t>
      </w:r>
      <w:r>
        <w:rPr/>
        <w:t xml:space="preserve">. Zürich: Schulthess.</w:t>
      </w:r>
    </w:p>
    <w:p>
      <w:pPr>
        <w:spacing w:after="240" w:line="240" w:lineRule="atLeast"/>
      </w:pPr>
      <w:r>
        <w:rPr/>
        <w:t xml:space="preserve">Kiener, R., Rütsche, B., &amp; Kussin, M. (2015). </w:t>
      </w:r>
      <w:r>
        <w:rPr>
          <w:i w:val="1"/>
          <w:iCs w:val="1"/>
        </w:rPr>
        <w:t xml:space="preserve">Öffentliches Verfahrensrecht</w:t>
      </w:r>
      <w:r>
        <w:rPr/>
        <w:t xml:space="preserve"> (2. Aufl.). Zürich/St. Gallen: Dike Verlag.</w:t>
      </w:r>
    </w:p>
    <w:p>
      <w:pPr>
        <w:spacing w:after="240" w:line="240" w:lineRule="atLeast"/>
      </w:pPr>
      <w:r>
        <w:rPr/>
        <w:t xml:space="preserve">Eckhardt, A., Navarini, A., Recher, A., Rippe, P., Rütsche, B., Telser, H., &amp; Marti, M. (2014). </w:t>
      </w:r>
      <w:r>
        <w:rPr>
          <w:i w:val="1"/>
          <w:iCs w:val="1"/>
        </w:rPr>
        <w:t xml:space="preserve">Personalisierte Medizin, Studie für das Zentrum für Technologiefolgen-Abschätzung (TA-SWISS)</w:t>
      </w:r>
      <w:r>
        <w:rPr/>
        <w:t xml:space="preserve">. Zürich: vdf Hochschulverlag.</w:t>
      </w:r>
    </w:p>
    <w:p>
      <w:pPr>
        <w:spacing w:after="240" w:line="240" w:lineRule="atLeast"/>
      </w:pPr>
      <w:r>
        <w:rPr/>
        <w:t xml:space="preserve">Rutz, S., Schmid, L. D., Rütsche, B., &amp; Diebold, N. (2014). </w:t>
      </w:r>
      <w:r>
        <w:rPr>
          <w:i w:val="1"/>
          <w:iCs w:val="1"/>
        </w:rPr>
        <w:t xml:space="preserve">Von alten und neuen Pfründen: Wie die Kantone Monopole stützen statt Märkte fördern</w:t>
      </w:r>
      <w:r>
        <w:rPr/>
        <w:t xml:space="preserve">. Zürich: Avenir Suisse.</w:t>
      </w:r>
    </w:p>
    <w:p>
      <w:pPr>
        <w:spacing w:after="240" w:line="240" w:lineRule="atLeast"/>
      </w:pPr>
      <w:r>
        <w:rPr/>
        <w:t xml:space="preserve">Gächter, T., &amp; Rütsche, B. (2013). </w:t>
      </w:r>
      <w:r>
        <w:rPr>
          <w:i w:val="1"/>
          <w:iCs w:val="1"/>
        </w:rPr>
        <w:t xml:space="preserve">Gesundheitsrecht. Ein Grundriss für Studium und Praxis</w:t>
      </w:r>
      <w:r>
        <w:rPr/>
        <w:t xml:space="preserve"> (3. Aufl.). Basel: Helbing &amp; Lichtenhahn.</w:t>
      </w:r>
    </w:p>
    <w:p>
      <w:pPr>
        <w:spacing w:after="240" w:line="240" w:lineRule="atLeast"/>
      </w:pPr>
      <w:r>
        <w:rPr/>
        <w:t xml:space="preserve">Rütsche, B. (2012). </w:t>
      </w:r>
      <w:r>
        <w:rPr>
          <w:i w:val="1"/>
          <w:iCs w:val="1"/>
        </w:rPr>
        <w:t xml:space="preserve">Datenschutzrechtliche Aufsicht über Spitäler/Surveillance de la protection des données dans les hôpitaux</w:t>
      </w:r>
      <w:r>
        <w:rPr/>
        <w:t xml:space="preserve"> (digma-Schriften) (Vol. 6). Zürich: Schulthess.</w:t>
      </w:r>
    </w:p>
    <w:p>
      <w:pPr>
        <w:spacing w:after="240" w:line="240" w:lineRule="atLeast"/>
      </w:pPr>
      <w:r>
        <w:rPr/>
        <w:t xml:space="preserve">Kiener, R., Rütsche, B., &amp; Kussin, M. (2012). </w:t>
      </w:r>
      <w:r>
        <w:rPr>
          <w:i w:val="1"/>
          <w:iCs w:val="1"/>
        </w:rPr>
        <w:t xml:space="preserve">Öffentliches Verfahrensrecht</w:t>
      </w:r>
      <w:r>
        <w:rPr/>
        <w:t xml:space="preserve"> (1. Aufl.). Zürich/St. Gallen: Dike Verlag.</w:t>
      </w:r>
    </w:p>
    <w:p>
      <w:pPr>
        <w:spacing w:after="240" w:line="240" w:lineRule="atLeast"/>
      </w:pPr>
      <w:r>
        <w:rPr/>
        <w:t xml:space="preserve">Eckhardt, A., Bachmann, A., Marti, M., Rütsche, B., &amp; Telser, H. (2011). </w:t>
      </w:r>
      <w:r>
        <w:rPr>
          <w:i w:val="1"/>
          <w:iCs w:val="1"/>
        </w:rPr>
        <w:t xml:space="preserve">Human Enhancement, Studie für das Zentrum für Technologiefolgen-Abschätzung (TA-SWISS)</w:t>
      </w:r>
      <w:r>
        <w:rPr/>
        <w:t xml:space="preserve">. Zürich: vdf Hochschulverlag.</w:t>
      </w:r>
    </w:p>
    <w:p>
      <w:pPr>
        <w:spacing w:after="240" w:line="240" w:lineRule="atLeast"/>
      </w:pPr>
      <w:r>
        <w:rPr/>
        <w:t xml:space="preserve">Rütsche, B. (2011). </w:t>
      </w:r>
      <w:r>
        <w:rPr>
          <w:i w:val="1"/>
          <w:iCs w:val="1"/>
        </w:rPr>
        <w:t xml:space="preserve">Neue Spitalfinanzierung und Spitalplanung. Insbesondere zur Steuerung der Leistungsmenge im stationären Bereich</w:t>
      </w:r>
      <w:r>
        <w:rPr/>
        <w:t xml:space="preserve">. Bern: Stämpfli Verlag AG. Retrieved from https://www.unilu.ch/fileadmin/fakultaeten/rf/ruetsche/dok/Ruetsche_NeueSpitalfinanzierung_2012.pdf</w:t>
      </w:r>
    </w:p>
    <w:p>
      <w:pPr>
        <w:spacing w:after="240" w:line="240" w:lineRule="atLeast"/>
      </w:pPr>
      <w:r>
        <w:rPr/>
        <w:t xml:space="preserve">Rütsche, B. (2009). </w:t>
      </w:r>
      <w:r>
        <w:rPr>
          <w:i w:val="1"/>
          <w:iCs w:val="1"/>
        </w:rPr>
        <w:t xml:space="preserve">Rechte von Ungeborenen auf Leben und Integrität: Die Verfassung zwischen Ethik und Rechtspraxis</w:t>
      </w:r>
      <w:r>
        <w:rPr/>
        <w:t xml:space="preserve">. Zürich, St. Gallen/Baden-Baden: Dike/Nomos. https://doi.org/10.5281/zenodo.10579825</w:t>
      </w:r>
    </w:p>
    <w:p>
      <w:pPr>
        <w:spacing w:after="240" w:line="240" w:lineRule="atLeast"/>
      </w:pPr>
      <w:r>
        <w:rPr/>
        <w:t xml:space="preserve">Rütsche, B. (2008). </w:t>
      </w:r>
      <w:r>
        <w:rPr>
          <w:i w:val="1"/>
          <w:iCs w:val="1"/>
        </w:rPr>
        <w:t xml:space="preserve">Elektronische Wahlhilfen in der Demokratie. Beurteilung im Lichte der Wahl- und Abstimmungsfreiheit, Spannungsverhältnis zu den politischen Parteien, Fragen staatlicher Regulierung</w:t>
      </w:r>
      <w:r>
        <w:rPr/>
        <w:t xml:space="preserve"> (ZSR-Beiheft Nr. 47). Basel: Helbing &amp; Lichtenhahn.</w:t>
      </w:r>
    </w:p>
    <w:p>
      <w:pPr>
        <w:spacing w:after="240" w:line="240" w:lineRule="atLeast"/>
      </w:pPr>
      <w:r>
        <w:rPr/>
        <w:t xml:space="preserve">Rütsche, B. (2002). </w:t>
      </w:r>
      <w:r>
        <w:rPr>
          <w:i w:val="1"/>
          <w:iCs w:val="1"/>
        </w:rPr>
        <w:t xml:space="preserve">Rechtsfolgen von Grundrechtsverletzungen. Mit Studien zur Normstruktur von Grundrechten, zu den funktionellen Grenzen der Verfassungsgerichtsbarkeit und zum Verhältnis von materiellem Recht und Verfahrensrecht</w:t>
      </w:r>
      <w:r>
        <w:rPr/>
        <w:t xml:space="preserve">. Basel: Helbing &amp; Lichtenhahn.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Rütsche, B., &amp; Diebold, N. (2025). Übertragung öffentlicher Aufgaben auf Private: Begriff und Ausschreibung. </w:t>
      </w:r>
      <w:r>
        <w:rPr>
          <w:i w:val="1"/>
          <w:iCs w:val="1"/>
        </w:rPr>
        <w:t xml:space="preserve">recht (Zeitschrift für juristische Weiterbildung und Praxis)</w:t>
      </w:r>
      <w:r>
        <w:rPr/>
        <w:t xml:space="preserve">, (4), 210–231.</w:t>
      </w:r>
    </w:p>
    <w:p>
      <w:pPr>
        <w:spacing w:after="240" w:line="240" w:lineRule="atLeast"/>
      </w:pPr>
      <w:r>
        <w:rPr/>
        <w:t xml:space="preserve">Rütsche, B. (2024). Zwischen Rationalität und Werturteil: Begriff und Methodik der Interessenabwägung, Schweizerischer Juristentag 2024. </w:t>
      </w:r>
      <w:r>
        <w:rPr>
          <w:i w:val="1"/>
          <w:iCs w:val="1"/>
        </w:rPr>
        <w:t xml:space="preserve">ZSR</w:t>
      </w:r>
      <w:r>
        <w:rPr/>
        <w:t xml:space="preserve">, </w:t>
      </w:r>
      <w:r>
        <w:rPr>
          <w:i w:val="1"/>
          <w:iCs w:val="1"/>
        </w:rPr>
        <w:t xml:space="preserve">143</w:t>
      </w:r>
      <w:r>
        <w:rPr/>
        <w:t xml:space="preserve"> (II), 5–99.</w:t>
      </w:r>
    </w:p>
    <w:p>
      <w:pPr>
        <w:spacing w:after="240" w:line="240" w:lineRule="atLeast"/>
      </w:pPr>
      <w:r>
        <w:rPr/>
        <w:t xml:space="preserve">Rütsche, B., &amp; Winistörfer, M. (2023). Einbezug der Wissenschaft in Krisenzeiten. Eine rechtliche Auslegeordnung. </w:t>
      </w:r>
      <w:r>
        <w:rPr>
          <w:i w:val="1"/>
          <w:iCs w:val="1"/>
        </w:rPr>
        <w:t xml:space="preserve">AJP/PJA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(2), 165–176. https://doi.org/10.5281/zenodo.8085247</w:t>
      </w:r>
    </w:p>
    <w:p>
      <w:pPr>
        <w:spacing w:after="240" w:line="240" w:lineRule="atLeast"/>
      </w:pPr>
      <w:r>
        <w:rPr/>
        <w:t xml:space="preserve">Rütsche, B. (2023). Wettbewerbsrechtliche Grenzen kantonaler Spitalsubventionen für gemeinwirtschaftliche Leistungen. </w:t>
      </w:r>
      <w:r>
        <w:rPr>
          <w:i w:val="1"/>
          <w:iCs w:val="1"/>
        </w:rPr>
        <w:t xml:space="preserve">sui generis</w:t>
      </w:r>
      <w:r>
        <w:rPr/>
        <w:t xml:space="preserve">, 139–150. https://doi.org/10.5281/zenodo.10261868</w:t>
      </w:r>
    </w:p>
    <w:p>
      <w:pPr>
        <w:spacing w:after="240" w:line="240" w:lineRule="atLeast"/>
      </w:pPr>
      <w:r>
        <w:rPr/>
        <w:t xml:space="preserve">Rütsche, B., Hürlimann, D., &amp; Thommen, M. (2022). Ist Suizidhilfe für Gesunde mittels Natrium-Pentobarbital strafbar? </w:t>
      </w:r>
      <w:r>
        <w:rPr>
          <w:i w:val="1"/>
          <w:iCs w:val="1"/>
        </w:rPr>
        <w:t xml:space="preserve">sui generis</w:t>
      </w:r>
      <w:r>
        <w:rPr/>
        <w:t xml:space="preserve">, 113–121. https://doi.org/10.21257/sg.211</w:t>
      </w:r>
    </w:p>
    <w:p>
      <w:pPr>
        <w:spacing w:after="240" w:line="240" w:lineRule="atLeast"/>
      </w:pPr>
      <w:r>
        <w:rPr/>
        <w:t xml:space="preserve">Rütsche, B., Fellmann, W., Aebi-Müller, R. E., &amp; Schüpfer, G. (2021). Verschiebung planbarer Eingriffe bei Ressourcenknappheit. Behandlungs-, Aufklärungs- und Treuepflichten sowie Haftungsfragen in Zeiten von Covid-19. </w:t>
      </w:r>
      <w:r>
        <w:rPr>
          <w:i w:val="1"/>
          <w:iCs w:val="1"/>
        </w:rPr>
        <w:t xml:space="preserve">Schweizerische Ärztezeitung (SAEZ)</w:t>
      </w:r>
      <w:r>
        <w:rPr/>
        <w:t xml:space="preserve">, </w:t>
      </w:r>
      <w:r>
        <w:rPr>
          <w:i w:val="1"/>
          <w:iCs w:val="1"/>
        </w:rPr>
        <w:t xml:space="preserve">102</w:t>
      </w:r>
      <w:r>
        <w:rPr/>
        <w:t xml:space="preserve"> (25), 852–855. https://doi.org/10.5281/zenodo.8172499</w:t>
      </w:r>
    </w:p>
    <w:p>
      <w:pPr>
        <w:spacing w:after="240" w:line="240" w:lineRule="atLeast"/>
      </w:pPr>
      <w:r>
        <w:rPr/>
        <w:t xml:space="preserve">Rütsche, B., Fellmann, W., &amp; Aebi-Müller, R. E. (2021). Verschiebung planbarer Spitalbehandlungen bei Ressourcenknappheit. Behandlungs-/Aufklärungs- und Treuepflichten sowie Haftungsfragen. </w:t>
      </w:r>
      <w:r>
        <w:rPr>
          <w:i w:val="1"/>
          <w:iCs w:val="1"/>
        </w:rPr>
        <w:t xml:space="preserve">Jusletter</w:t>
      </w:r>
      <w:r>
        <w:rPr/>
        <w:t xml:space="preserve">, (19.04.2021), 1–19. Retrieved from https://jusletter.weblaw.ch/juslissues/2021/1063/verschiebung-planbar_6bca12a9a4.html__ONCE</w:t>
      </w:r>
    </w:p>
    <w:p>
      <w:pPr>
        <w:spacing w:after="240" w:line="240" w:lineRule="atLeast"/>
      </w:pPr>
      <w:r>
        <w:rPr/>
        <w:t xml:space="preserve">Rütsche, B., &amp; Norer, R. (2021). Schiffsuntergang im Vierwaldstättersee: Übungsfall im Allgemeinen Verwaltungsrecht. </w:t>
      </w:r>
      <w:r>
        <w:rPr>
          <w:i w:val="1"/>
          <w:iCs w:val="1"/>
        </w:rPr>
        <w:t xml:space="preserve">ius.full</w:t>
      </w:r>
      <w:r>
        <w:rPr/>
        <w:t xml:space="preserve">, (1), 16–21.</w:t>
      </w:r>
    </w:p>
    <w:p>
      <w:pPr>
        <w:spacing w:after="240" w:line="240" w:lineRule="atLeast"/>
      </w:pPr>
      <w:r>
        <w:rPr/>
        <w:t xml:space="preserve">Rütsche, B. (2019). Vergütung von Heilmitteln im Einzelfall: für eine allgemeine Härtefallklausel im Krankenversicherungsrecht. </w:t>
      </w:r>
      <w:r>
        <w:rPr>
          <w:i w:val="1"/>
          <w:iCs w:val="1"/>
        </w:rPr>
        <w:t xml:space="preserve">recht</w:t>
      </w:r>
      <w:r>
        <w:rPr/>
        <w:t xml:space="preserve">, (1), 72–80.</w:t>
      </w:r>
    </w:p>
    <w:p>
      <w:pPr>
        <w:spacing w:after="240" w:line="240" w:lineRule="atLeast"/>
      </w:pPr>
      <w:r>
        <w:rPr/>
        <w:t xml:space="preserve">Rütsche, B. (2017). Pro: Soll das sogenannte ‘Gene Editing’ mittels CRISPR/Cas9-Technologie an menschlichen Embryonen erforscht werden? </w:t>
      </w:r>
      <w:r>
        <w:rPr>
          <w:i w:val="1"/>
          <w:iCs w:val="1"/>
        </w:rPr>
        <w:t xml:space="preserve">Ethik in der Medizin</w:t>
      </w:r>
      <w:r>
        <w:rPr/>
        <w:t xml:space="preserve">, (29(3)), 243–247.</w:t>
      </w:r>
    </w:p>
    <w:p>
      <w:pPr>
        <w:spacing w:after="240" w:line="240" w:lineRule="atLeast"/>
      </w:pPr>
      <w:r>
        <w:rPr/>
        <w:t xml:space="preserve">Rütsche, B., &amp; Wildi, A. M. (2016). Limitierung von Arzneimitteln im Krankenversicherungsrecht: Wo wird die Grenze zur Rationierung überschritten? </w:t>
      </w:r>
      <w:r>
        <w:rPr>
          <w:i w:val="1"/>
          <w:iCs w:val="1"/>
        </w:rPr>
        <w:t xml:space="preserve">recht</w:t>
      </w:r>
      <w:r>
        <w:rPr/>
        <w:t xml:space="preserve">, (4), 199–212.</w:t>
      </w:r>
    </w:p>
    <w:p>
      <w:pPr>
        <w:spacing w:after="240" w:line="240" w:lineRule="atLeast"/>
      </w:pPr>
      <w:r>
        <w:rPr/>
        <w:t xml:space="preserve">Rütsche, B. (2016). Staatliche Leistungsaufträge und Rechtsschutz. </w:t>
      </w:r>
      <w:r>
        <w:rPr>
          <w:i w:val="1"/>
          <w:iCs w:val="1"/>
        </w:rPr>
        <w:t xml:space="preserve">ZBJV</w:t>
      </w:r>
      <w:r>
        <w:rPr/>
        <w:t xml:space="preserve">, (2), 71–113.</w:t>
      </w:r>
    </w:p>
    <w:p>
      <w:pPr>
        <w:spacing w:after="240" w:line="240" w:lineRule="atLeast"/>
      </w:pPr>
      <w:r>
        <w:rPr/>
        <w:t xml:space="preserve">Rütsche, B. (2014). Das Recht der biomedizinischen Forschung am Menschen: Nationales Recht im Spiegel internationaler Prinzipien. </w:t>
      </w:r>
      <w:r>
        <w:rPr>
          <w:i w:val="1"/>
          <w:iCs w:val="1"/>
        </w:rPr>
        <w:t xml:space="preserve">MedR</w:t>
      </w:r>
      <w:r>
        <w:rPr/>
        <w:t xml:space="preserve">, (10), 725–733.</w:t>
      </w:r>
    </w:p>
    <w:p>
      <w:pPr>
        <w:spacing w:after="240" w:line="240" w:lineRule="atLeast"/>
      </w:pPr>
      <w:r>
        <w:rPr/>
        <w:t xml:space="preserve">Rütsche, B. (2013). Die Rechtsgleichheit in Bewegung: Dogmatische Fortbildung von Art. 8 Abs. 1 BV, in: Praxis der neuen Bundesverfassung. Sonderheft zu Ehren von alt Bundesrat Arnold Koller. </w:t>
      </w:r>
      <w:r>
        <w:rPr>
          <w:i w:val="1"/>
          <w:iCs w:val="1"/>
        </w:rPr>
        <w:t xml:space="preserve">AJP</w:t>
      </w:r>
      <w:r>
        <w:rPr/>
        <w:t xml:space="preserve">, (9), 1321–1331.</w:t>
      </w:r>
    </w:p>
    <w:p>
      <w:pPr>
        <w:spacing w:after="240" w:line="240" w:lineRule="atLeast"/>
      </w:pPr>
      <w:r>
        <w:rPr/>
        <w:t xml:space="preserve">Rütsche, B. (2013). Was sind öffentliche Aufgaben? </w:t>
      </w:r>
      <w:r>
        <w:rPr>
          <w:i w:val="1"/>
          <w:iCs w:val="1"/>
        </w:rPr>
        <w:t xml:space="preserve">recht</w:t>
      </w:r>
      <w:r>
        <w:rPr/>
        <w:t xml:space="preserve">, (4), 153–162.</w:t>
      </w:r>
    </w:p>
    <w:p>
      <w:pPr>
        <w:spacing w:after="240" w:line="240" w:lineRule="atLeast"/>
      </w:pPr>
      <w:r>
        <w:rPr/>
        <w:t xml:space="preserve">Rütsche, B. (2012). Spitalplanung und Spitalfinanzierung: Grundsatzurteil des Bundesgerichts (Urteil vom 10. Juli 2012 i.S. Clinica A. SA und B. gegen Grosser Rat von Republik und Kanton Tessin - 2C_796/2011). </w:t>
      </w:r>
      <w:r>
        <w:rPr>
          <w:i w:val="1"/>
          <w:iCs w:val="1"/>
        </w:rPr>
        <w:t xml:space="preserve">HILL</w:t>
      </w:r>
      <w:r>
        <w:rPr/>
        <w:t xml:space="preserve">, (50).</w:t>
      </w:r>
    </w:p>
    <w:p>
      <w:pPr>
        <w:spacing w:after="240" w:line="240" w:lineRule="atLeast"/>
      </w:pPr>
      <w:r>
        <w:rPr/>
        <w:t xml:space="preserve">Rütsche, B. (2012). Datenschutzaufsicht über Spitäler. </w:t>
      </w:r>
      <w:r>
        <w:rPr>
          <w:i w:val="1"/>
          <w:iCs w:val="1"/>
        </w:rPr>
        <w:t xml:space="preserve">digma</w:t>
      </w:r>
      <w:r>
        <w:rPr/>
        <w:t xml:space="preserve">, (4), 176–181.</w:t>
      </w:r>
    </w:p>
    <w:p>
      <w:pPr>
        <w:spacing w:after="240" w:line="240" w:lineRule="atLeast"/>
      </w:pPr>
      <w:r>
        <w:rPr/>
        <w:t xml:space="preserve">Rütsche, B. (2011). Staatshaftung für bewilligte Sicherheitsrisiken - warum die objektive Widerrechtlichkeitstheorie nicht funktioniert. </w:t>
      </w:r>
      <w:r>
        <w:rPr>
          <w:i w:val="1"/>
          <w:iCs w:val="1"/>
        </w:rPr>
        <w:t xml:space="preserve">jusletter vom 4. April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Rütsche, B. (2010). Eugenik und Verfassung. Regulierung eugenischer Wünsche von Eltern im freiheitlichen Rechtsstaat. </w:t>
      </w:r>
      <w:r>
        <w:rPr>
          <w:i w:val="1"/>
          <w:iCs w:val="1"/>
        </w:rPr>
        <w:t xml:space="preserve">ZBl</w:t>
      </w:r>
      <w:r>
        <w:rPr/>
        <w:t xml:space="preserve">, (6), 297–327.</w:t>
      </w:r>
    </w:p>
    <w:p>
      <w:pPr>
        <w:spacing w:after="240" w:line="240" w:lineRule="atLeast"/>
      </w:pPr>
      <w:r>
        <w:rPr/>
        <w:t xml:space="preserve">Rütsche, B. (2010). The Role of Human Dignity in the Swiss Legal System. Arguing for a dualistic notion of human dignity. </w:t>
      </w:r>
      <w:r>
        <w:rPr>
          <w:i w:val="1"/>
          <w:iCs w:val="1"/>
        </w:rPr>
        <w:t xml:space="preserve">Journal international de bioéthique</w:t>
      </w:r>
      <w:r>
        <w:rPr/>
        <w:t xml:space="preserve">, (4), 83–91.</w:t>
      </w:r>
    </w:p>
    <w:p>
      <w:pPr>
        <w:spacing w:after="240" w:line="240" w:lineRule="atLeast"/>
      </w:pPr>
      <w:r>
        <w:rPr/>
        <w:t xml:space="preserve">Rütsche, B. (2010). Die Neuordnung des schweizerischen Humanforschungsrechts: Normgenese als kritische Rezeption internationaler Vorgaben. </w:t>
      </w:r>
      <w:r>
        <w:rPr>
          <w:i w:val="1"/>
          <w:iCs w:val="1"/>
        </w:rPr>
        <w:t xml:space="preserve">ZSR 2010 I</w:t>
      </w:r>
      <w:r>
        <w:rPr/>
        <w:t xml:space="preserve">, 391–411.</w:t>
      </w:r>
    </w:p>
    <w:p>
      <w:pPr>
        <w:spacing w:after="240" w:line="240" w:lineRule="atLeast"/>
      </w:pPr>
      <w:r>
        <w:rPr/>
        <w:t xml:space="preserve">Rütsche, B. (2005). Rechtsfolgen von Normenkontrollen. Entwicklungen in Praxis und Lehre seit dem Fall Hegetschweiler vor zwei Jahrzehnten. </w:t>
      </w:r>
      <w:r>
        <w:rPr>
          <w:i w:val="1"/>
          <w:iCs w:val="1"/>
        </w:rPr>
        <w:t xml:space="preserve">ZBl</w:t>
      </w:r>
      <w:r>
        <w:rPr/>
        <w:t xml:space="preserve">, (6), 273–304.</w:t>
      </w:r>
    </w:p>
    <w:p>
      <w:pPr>
        <w:spacing w:after="240" w:line="240" w:lineRule="atLeast"/>
      </w:pPr>
      <w:r>
        <w:rPr/>
        <w:t xml:space="preserve">Mader, L. A., &amp; Rütsche, B. (2004). Regulierung, Deregulierung, Selbstregulierung: Anmerkungen aus legistischer Sicht. </w:t>
      </w:r>
      <w:r>
        <w:rPr>
          <w:i w:val="1"/>
          <w:iCs w:val="1"/>
        </w:rPr>
        <w:t xml:space="preserve">SJV, Referate und Mitteilungen, Schweizerischer Juristentag 2004</w:t>
      </w:r>
      <w:r>
        <w:rPr/>
        <w:t xml:space="preserve">, (1), 1–156.</w:t>
      </w:r>
    </w:p>
    <w:p>
      <w:pPr>
        <w:spacing w:after="240" w:line="240" w:lineRule="atLeast"/>
      </w:pPr>
      <w:r>
        <w:rPr/>
        <w:t xml:space="preserve">Rütsche, B. (2001). Der Grundsatz der Verhältnismässigkeit, Rechtsstaatsprinzip und Voraussetzung von Grundrechtseingriffen. </w:t>
      </w:r>
      <w:r>
        <w:rPr>
          <w:i w:val="1"/>
          <w:iCs w:val="1"/>
        </w:rPr>
        <w:t xml:space="preserve">ZeitSchrift Reformatio</w:t>
      </w:r>
      <w:r>
        <w:rPr/>
        <w:t xml:space="preserve">, (1), 40–45.</w:t>
      </w:r>
    </w:p>
    <w:p>
      <w:pPr>
        <w:spacing w:after="240" w:line="240" w:lineRule="atLeast"/>
      </w:pPr>
      <w:r>
        <w:rPr/>
        <w:t xml:space="preserve">Feuz, R., &amp; Rütsche, B. (2000). Quatre remarques relatives à l’octroi des concessions par la voie d’un appel d’offres public / Vier Bemerkungen zur Konzessionserteilung mittels öffentlicher Ausschreibung. </w:t>
      </w:r>
      <w:r>
        <w:rPr>
          <w:i w:val="1"/>
          <w:iCs w:val="1"/>
        </w:rPr>
        <w:t xml:space="preserve">jusletter vom 8. Mai 2000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Kley, A., &amp; Rütsche, B. (1998). Hilfsmittel für die Arbeit mit der Europäischen Menschenrechtskonvention. </w:t>
      </w:r>
      <w:r>
        <w:rPr>
          <w:i w:val="1"/>
          <w:iCs w:val="1"/>
        </w:rPr>
        <w:t xml:space="preserve">AJP</w:t>
      </w:r>
      <w:r>
        <w:rPr/>
        <w:t xml:space="preserve">, (5), 627–633.</w:t>
      </w:r>
    </w:p>
    <w:p>
      <w:pPr>
        <w:spacing w:after="240" w:line="240" w:lineRule="atLeast"/>
      </w:pPr>
      <w:r>
        <w:rPr/>
        <w:t xml:space="preserve">Rütsche, B. (1996). Alpeninitiative und Transitabkommen. </w:t>
      </w:r>
      <w:r>
        <w:rPr>
          <w:i w:val="1"/>
          <w:iCs w:val="1"/>
        </w:rPr>
        <w:t xml:space="preserve">Swiss Papers on European Integration, Verkehrspolitik und Alpenraum</w:t>
      </w:r>
      <w:r>
        <w:rPr/>
        <w:t xml:space="preserve">, (6).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Rütsche, B. (2025). Individueller und kollektiver Rechtsschutz im Kampf gegen den Klimawandel: Bedeutung des EGMR-Urteils Verein KlimaSeniorinnen Schweiz für das Beschwerderecht. In Brunner, Arthur, Josuran-Binder, Anja Martina &amp; Zumsteg, Patrice Martin (Eds.), </w:t>
      </w:r>
      <w:r>
        <w:rPr>
          <w:i w:val="1"/>
          <w:iCs w:val="1"/>
        </w:rPr>
        <w:t xml:space="preserve">Der Mensch als Massstab des Rechts: Liber amicorum für Regina Kiener</w:t>
      </w:r>
      <w:r>
        <w:rPr/>
        <w:t xml:space="preserve"> (pp. 545–556). Zürich: DIKE. https://doi.org/10.5281/zenodo.15089146</w:t>
      </w:r>
    </w:p>
    <w:p>
      <w:pPr>
        <w:spacing w:after="240" w:line="240" w:lineRule="atLeast"/>
      </w:pPr>
      <w:r>
        <w:rPr/>
        <w:t xml:space="preserve">Rütsche, B. (2025). Zur Methodik der Interessenabwägung am Beispiel von Tierversuchen. In Mathis, Klaus, Norer, Roland, Pégorier, Clotilde, Perrin, Jonas &amp; Schreiber, Markus (Eds.), </w:t>
      </w:r>
      <w:r>
        <w:rPr>
          <w:i w:val="1"/>
          <w:iCs w:val="1"/>
        </w:rPr>
        <w:t xml:space="preserve">Schutz von Mensch und Umwelt im europäischen Kontext: Festschrift für Sebastian Heselhaus zum 65. Geburtstag</w:t>
      </w:r>
      <w:r>
        <w:rPr/>
        <w:t xml:space="preserve"> (pp. 11–27). Berlin: Duncker &amp; Humblot.</w:t>
      </w:r>
    </w:p>
    <w:p>
      <w:pPr>
        <w:spacing w:after="240" w:line="240" w:lineRule="atLeast"/>
      </w:pPr>
      <w:r>
        <w:rPr/>
        <w:t xml:space="preserve">Rütsche, B. (2024). Schwarze Listen im Krankenversicherungsrecht. Zugang zur Gesundheitsversorgung auf dem Prüfstand. In Baur, Isabel, Gächter, Thomas, Godenzi, Gunhild, Mausbach, Julian, Michel, Margot &amp; Staudinger-Fürer, Sina (Eds.), </w:t>
      </w:r>
      <w:r>
        <w:rPr>
          <w:i w:val="1"/>
          <w:iCs w:val="1"/>
        </w:rPr>
        <w:t xml:space="preserve">Entwicklungen im Medizinrecht – Vom klassischen Arztrecht zu One Health, Festschrift für Brigitte Tag</w:t>
      </w:r>
      <w:r>
        <w:rPr/>
        <w:t xml:space="preserve"> (pp. 367–378). Bern: Stämpfli.</w:t>
      </w:r>
    </w:p>
    <w:p>
      <w:pPr>
        <w:spacing w:after="240" w:line="240" w:lineRule="atLeast"/>
      </w:pPr>
      <w:r>
        <w:rPr/>
        <w:t xml:space="preserve">Rütsche, B. (2021). Staatshaftung für Betriebsschliessungen während der Covid-19-Pandemie. In Clerc, Evelyne, Dunand, Jean-Philippe &amp; Sprumont, Dominique (Eds.), </w:t>
      </w:r>
      <w:r>
        <w:rPr>
          <w:i w:val="1"/>
          <w:iCs w:val="1"/>
        </w:rPr>
        <w:t xml:space="preserve">Alea jacta est: Santé!, Mélanges en l’honneur d’Olivier Guillod</w:t>
      </w:r>
      <w:r>
        <w:rPr/>
        <w:t xml:space="preserve"> (pp. 635–648). Basel: Helbing Lichtenhahn Verlag.</w:t>
      </w:r>
    </w:p>
    <w:p>
      <w:pPr>
        <w:spacing w:after="240" w:line="240" w:lineRule="atLeast"/>
      </w:pPr>
      <w:r>
        <w:rPr/>
        <w:t xml:space="preserve">Rütsche, B. (2020). Verhältnismässigkeitsprinzip. In Diggelmann, Oliver, Hertig Randall, Maya &amp; Schindler, Benjamin (Eds.), </w:t>
      </w:r>
      <w:r>
        <w:rPr>
          <w:i w:val="1"/>
          <w:iCs w:val="1"/>
        </w:rPr>
        <w:t xml:space="preserve">Verfassungsrecht der Schweiz / Droit constitutionnel suisse</w:t>
      </w:r>
      <w:r>
        <w:rPr/>
        <w:t xml:space="preserve"> (pp. 145–167). Zürich: Schulthess.</w:t>
      </w:r>
    </w:p>
    <w:p>
      <w:pPr>
        <w:spacing w:after="240" w:line="240" w:lineRule="atLeast"/>
      </w:pPr>
      <w:r>
        <w:rPr/>
        <w:t xml:space="preserve">Diebold, N., Rütsche, B., &amp; Keller, A. (2019). Instrumente der laufenden Marktaufsicht. In Häner, Isabelle &amp; Waldmann, Bernhard (Eds.), </w:t>
      </w:r>
      <w:r>
        <w:rPr>
          <w:i w:val="1"/>
          <w:iCs w:val="1"/>
        </w:rPr>
        <w:t xml:space="preserve">7. Forum für Verwaltungsrecht: Staatliche Aufsicht über die Wirtschaft und ihre Akteure</w:t>
      </w:r>
      <w:r>
        <w:rPr/>
        <w:t xml:space="preserve"> (pp. 47–75). Bern: Growth Publisher Law. https://doi.org/10.5281/zenodo.3403656</w:t>
      </w:r>
    </w:p>
    <w:p>
      <w:pPr>
        <w:spacing w:after="240" w:line="240" w:lineRule="atLeast"/>
      </w:pPr>
      <w:r>
        <w:rPr/>
        <w:t xml:space="preserve">Rütsche, B. (2018). Fortpflanzungsmedizin und Gentechnologie – Revision von Artikel 119 der Bundesverfassung. In Weerts, Sophie, Rossat-Favre, Colette, Guy-Ecabert, Christine, Benoît, Anne &amp; Flückiger, Alexandre (Eds.), </w:t>
      </w:r>
      <w:r>
        <w:rPr>
          <w:i w:val="1"/>
          <w:iCs w:val="1"/>
        </w:rPr>
        <w:t xml:space="preserve">Révision imaginaire de la Constitution fédérale. Mélanges en hommage au prof. Luzius Mader</w:t>
      </w:r>
      <w:r>
        <w:rPr/>
        <w:t xml:space="preserve"> (pp. 194–198). Basel: Helbing Lichtenhahn.</w:t>
      </w:r>
    </w:p>
    <w:p>
      <w:pPr>
        <w:spacing w:after="240" w:line="240" w:lineRule="atLeast"/>
      </w:pPr>
      <w:r>
        <w:rPr/>
        <w:t xml:space="preserve">Rütsche, B. (2018). Rechtsstaatliche Grenzen von Rationierungen im Gesundheitswesen. In Kieser, Ueli &amp; Leu, Agnes (Eds.), </w:t>
      </w:r>
      <w:r>
        <w:rPr>
          <w:i w:val="1"/>
          <w:iCs w:val="1"/>
        </w:rPr>
        <w:t xml:space="preserve">5. St. Galler Gesundheits- und Pflegerechtstagung</w:t>
      </w:r>
      <w:r>
        <w:rPr/>
        <w:t xml:space="preserve"> (Vol. 104, pp. 109–129). Zürich: Dike Verlag AG.</w:t>
      </w:r>
    </w:p>
    <w:p>
      <w:pPr>
        <w:spacing w:after="240" w:line="240" w:lineRule="atLeast"/>
      </w:pPr>
      <w:r>
        <w:rPr/>
        <w:t xml:space="preserve">Rütsche, B. (2015). Diskriminierungsgefahren in der Gesundheitsversorgung. Einleitende Bemerkungen. In Tschentscher Axel/Lehner Caroline/Mahlmann Matthias/Kühler Anne (Ed.), </w:t>
      </w:r>
      <w:r>
        <w:rPr>
          <w:i w:val="1"/>
          <w:iCs w:val="1"/>
        </w:rPr>
        <w:t xml:space="preserve">Soziale Gerechtigkeit heute</w:t>
      </w:r>
      <w:r>
        <w:rPr/>
        <w:t xml:space="preserve"> (pp. 113–115). Stuttgart: Franz Steiner Verlag.</w:t>
      </w:r>
    </w:p>
    <w:p>
      <w:pPr>
        <w:spacing w:after="240" w:line="240" w:lineRule="atLeast"/>
      </w:pPr>
      <w:r>
        <w:rPr/>
        <w:t xml:space="preserve">Rütsche, B., &amp; Diebold, N. (2014). Geschlossene Märkte und Zugang zu geschlossenen Märkten. In Samuel Rutz &amp; Lukas Schmid (Eds.), </w:t>
      </w:r>
      <w:r>
        <w:rPr>
          <w:i w:val="1"/>
          <w:iCs w:val="1"/>
        </w:rPr>
        <w:t xml:space="preserve">Von alten und neuen Pfründen: Wie die Kantone Monopole stützen statt Märkte fördern</w:t>
      </w:r>
      <w:r>
        <w:rPr/>
        <w:t xml:space="preserve"> (Vol. 6, pp. 83–107). Zürich: Avenir Suisse. Retrieved from https://www.unilu.ch/fileadmin/fakultaeten/rf/ruetsche/dok/141723_avenir-suisse_br_de-internet.pdf</w:t>
      </w:r>
    </w:p>
    <w:p>
      <w:pPr>
        <w:spacing w:after="240" w:line="240" w:lineRule="atLeast"/>
      </w:pPr>
      <w:r>
        <w:rPr/>
        <w:t xml:space="preserve">Rütsche, B., &amp; D’Amico, N. (2014). Kommentare zu Fallbeispielen aus klinischer Praxis und Forschung. In Elger Bernice S. (Ed.), </w:t>
      </w:r>
      <w:r>
        <w:rPr>
          <w:i w:val="1"/>
          <w:iCs w:val="1"/>
        </w:rPr>
        <w:t xml:space="preserve">Ethik und Recht in Medizin und Biowissenschaften: Aktuelle Fallbeispiele aus klinischer Praxis und Forschung</w:t>
      </w:r>
      <w:r>
        <w:rPr/>
        <w:t xml:space="preserve">. Berlin: de Gruyter.</w:t>
      </w:r>
    </w:p>
    <w:p>
      <w:pPr>
        <w:spacing w:after="240" w:line="240" w:lineRule="atLeast"/>
      </w:pPr>
      <w:r>
        <w:rPr/>
        <w:t xml:space="preserve">Rütsche, B. (2014). Rechtsvergleichung im öffentlichen Recht: Auslegungsmethode oder blosse Inspirationsquelle. In Schmid Jörg, Morawa Alexander H.E. &amp; Heckendorn Urscheler Lukas (Eds.), </w:t>
      </w:r>
      <w:r>
        <w:rPr>
          <w:i w:val="1"/>
          <w:iCs w:val="1"/>
        </w:rPr>
        <w:t xml:space="preserve">Die Rechtsvergleichung in der Rechtsprechung: Praxis, Legitimität und Methodik</w:t>
      </w:r>
      <w:r>
        <w:rPr/>
        <w:t xml:space="preserve"> (pp. 121–141). Zürich/Basel/Genf: Schulthess. Retrieved from https://www.unilu.ch/fileadmin/fakultaeten/rf/ruetsche/dok/Ruetsche_Rechtsvergleichung_2014.pdf</w:t>
      </w:r>
    </w:p>
    <w:p>
      <w:pPr>
        <w:spacing w:after="240" w:line="240" w:lineRule="atLeast"/>
      </w:pPr>
      <w:r>
        <w:rPr/>
        <w:t xml:space="preserve">Rütsche, B. (2013). Medizinprodukteregulierung im Spiegel legistischer Prinzipien. In Bernhard Rütsche (Ed.), </w:t>
      </w:r>
      <w:r>
        <w:rPr>
          <w:i w:val="1"/>
          <w:iCs w:val="1"/>
        </w:rPr>
        <w:t xml:space="preserve">Medizinprodukte: Regulierung und Haftung</w:t>
      </w:r>
      <w:r>
        <w:rPr/>
        <w:t xml:space="preserve"> (pp. 1–8). Bern: Stämpfli Verlag. Retrieved from https://www.unilu.ch/fileadmin/fakultaeten/rf/ruetsche/dok/Ruetsche_Medizinprodukte_2013.pdf</w:t>
      </w:r>
    </w:p>
    <w:p>
      <w:pPr>
        <w:spacing w:after="240" w:line="240" w:lineRule="atLeast"/>
      </w:pPr>
      <w:r>
        <w:rPr/>
        <w:t xml:space="preserve">Rütsche, B. (2013). Recht und Gesundheit - Gesundheitsrecht. In Zaugg, Helena &amp; Schläpfer, Lea (Eds.), </w:t>
      </w:r>
      <w:r>
        <w:rPr>
          <w:i w:val="1"/>
          <w:iCs w:val="1"/>
        </w:rPr>
        <w:t xml:space="preserve">Recht und Gesundheit. Junge Rechtswissenschaft Luzern</w:t>
      </w:r>
      <w:r>
        <w:rPr/>
        <w:t xml:space="preserve"> (p. IX–XII). Zürich/Basel/Genf: Schulthess Juristische Medien AG. Retrieved from https://www.unilu.ch/fileadmin/fakultaeten/rf/ruetsche/dok/Ruetsche_LBR_RechtundGesundheit_2013.pdf</w:t>
      </w:r>
    </w:p>
    <w:p>
      <w:pPr>
        <w:spacing w:after="240" w:line="240" w:lineRule="atLeast"/>
      </w:pPr>
      <w:r>
        <w:rPr/>
        <w:t xml:space="preserve">Rütsche, B. (2013). Reproduktionsmedizin und Embryonenforschung: Legitimität der geltenden Forschungsverbote? In Winiger, Bénédict, Becchi, Paolo, Avramov, Philippe &amp; Bacher, Mike (Eds.), </w:t>
      </w:r>
      <w:r>
        <w:rPr>
          <w:i w:val="1"/>
          <w:iCs w:val="1"/>
        </w:rPr>
        <w:t xml:space="preserve">Ethik und Recht in der Bioethik / Ethique et Droit en matière de Bioéthique</w:t>
      </w:r>
      <w:r>
        <w:rPr/>
        <w:t xml:space="preserve"> (pp. 81–98). Stuttgart: Franz Steiner Verlag / Nomos. https://doi.org/10.5281/zenodo.17722066</w:t>
      </w:r>
    </w:p>
    <w:p>
      <w:pPr>
        <w:spacing w:after="240" w:line="240" w:lineRule="atLeast"/>
      </w:pPr>
      <w:r>
        <w:rPr/>
        <w:t xml:space="preserve">Rütsche, B. (2013). Vollzug des Zweitwohnungsverbots. In Norer Roland &amp; Rütsche Bernhard (Eds.), </w:t>
      </w:r>
      <w:r>
        <w:rPr>
          <w:i w:val="1"/>
          <w:iCs w:val="1"/>
        </w:rPr>
        <w:t xml:space="preserve">Rechtliche Umsetzung der Zweitwohnungsinitiative</w:t>
      </w:r>
      <w:r>
        <w:rPr/>
        <w:t xml:space="preserve"> (pp. 63–84). Bern: Stämpfli Verlag. Retrieved from https://www.unilu.ch/fileadmin/fakultaeten/rf/ruetsche/dok/Ruetsche_Zweitwohnungsinitiative_2013.pdf</w:t>
      </w:r>
    </w:p>
    <w:p>
      <w:pPr>
        <w:spacing w:after="240" w:line="240" w:lineRule="atLeast"/>
      </w:pPr>
      <w:r>
        <w:rPr/>
        <w:t xml:space="preserve">Rütsche, B., &amp; Weber, D. (2012). Theorie und Praxis des Führerausweisentzugs. In Thomas Probst &amp; Franz Werro (Eds.), </w:t>
      </w:r>
      <w:r>
        <w:rPr>
          <w:i w:val="1"/>
          <w:iCs w:val="1"/>
        </w:rPr>
        <w:t xml:space="preserve">Strassenverkehrsrechts-Tagung 14.-15. Juni 2012</w:t>
      </w:r>
      <w:r>
        <w:rPr/>
        <w:t xml:space="preserve"> (pp. 143–179). Bern: Stämpfli. Retrieved from https://www.unilu.ch/fileadmin/fakultaeten/rf/ruetsche/dok/Ruetsche_Weber_Fuehrerausweisentzug.pdf</w:t>
      </w:r>
    </w:p>
    <w:p>
      <w:pPr>
        <w:spacing w:after="240" w:line="240" w:lineRule="atLeast"/>
      </w:pPr>
      <w:r>
        <w:rPr/>
        <w:t xml:space="preserve">Rütsche, B. (2012). Titel- und Bezeichnungsschutz im Psychologieberufegesetz. In Poledna Tomas (Ed.), </w:t>
      </w:r>
      <w:r>
        <w:rPr>
          <w:i w:val="1"/>
          <w:iCs w:val="1"/>
        </w:rPr>
        <w:t xml:space="preserve">Psychologieberufe im Wandel – Aktuelle Rechtsfragen</w:t>
      </w:r>
      <w:r>
        <w:rPr/>
        <w:t xml:space="preserve"> (pp. 15–33). Zürich: Schulthess Verlag. Retrieved from https://www.unilu.ch/fileadmin/fakultaeten/rf/ruetsche/dok/Ruetsche_TitelschutzPsychologieberufe_2012.pdf</w:t>
      </w:r>
    </w:p>
    <w:p>
      <w:pPr>
        <w:spacing w:after="240" w:line="240" w:lineRule="atLeast"/>
      </w:pPr>
      <w:r>
        <w:rPr/>
        <w:t xml:space="preserve">Rütsche, B. (2012). Was sind öffentliche Rechte und Pflichten? Überlegungen zum Rechtscharakter der Verfügung. In Rüssli, Hänni &amp; Häggi Furrer (Eds.), </w:t>
      </w:r>
      <w:r>
        <w:rPr>
          <w:i w:val="1"/>
          <w:iCs w:val="1"/>
        </w:rPr>
        <w:t xml:space="preserve">Staats- und Verwaltunsrecht auf vier Ebenen, Festschrift für Tobias Jaag</w:t>
      </w:r>
      <w:r>
        <w:rPr/>
        <w:t xml:space="preserve"> (pp. 69–79). Zürich/Basel/Genf: Schulthess Juristische Medien AG. Retrieved from https://www.unilu.ch/fileadmin/fakultaeten/rf/ruetsche/dok/Ruetsche_FSJaag_OeffentlicheRechteundPflichten_2012.pdf</w:t>
      </w:r>
    </w:p>
    <w:p>
      <w:pPr>
        <w:spacing w:after="240" w:line="240" w:lineRule="atLeast"/>
      </w:pPr>
      <w:r>
        <w:rPr/>
        <w:t xml:space="preserve">Rütsche, B. (2011). Die Menschenwürde in der Rechtswirklichkeit: Schutz subjektiver und objektiver Werte. In Caroni, Heselhaus, Mathis &amp; Norer (Eds.), </w:t>
      </w:r>
      <w:r>
        <w:rPr>
          <w:i w:val="1"/>
          <w:iCs w:val="1"/>
        </w:rPr>
        <w:t xml:space="preserve">Auf der Scholle und in lichten Höhen, Festschrift für Paul Richli zum 65. Geburtstag</w:t>
      </w:r>
      <w:r>
        <w:rPr/>
        <w:t xml:space="preserve"> (pp. 3–22). Zürich/St. Gallen: Dike/Nomos. Retrieved from https://www.unilu.ch/fileadmin/fakultaeten/rf/ruetsche/dok/Ruetsche_FSRichli_Menschenwuerde_2010.pdf</w:t>
      </w:r>
    </w:p>
    <w:p>
      <w:pPr>
        <w:spacing w:after="240" w:line="240" w:lineRule="atLeast"/>
      </w:pPr>
      <w:r>
        <w:rPr/>
        <w:t xml:space="preserve">Rütsche, B., &amp; Schneider, D. (2011). Die Sachverhaltsfeststellung als arbeitsteiliger Prozess. Ein neuer Blick auf den Untersuchungsgrundsatz im öffentlichen Verfahren. In Bommer, Felix &amp; Berti, Stephen V. (Eds.), </w:t>
      </w:r>
      <w:r>
        <w:rPr>
          <w:i w:val="1"/>
          <w:iCs w:val="1"/>
        </w:rPr>
        <w:t xml:space="preserve">Verfahrensrecht am Beginn einer neuen Epoche. Festgabe zum Schweizerischen Juristentag 2011 – 150 Jahre Schweizerischer Juristenverein</w:t>
      </w:r>
      <w:r>
        <w:rPr/>
        <w:t xml:space="preserve"> (pp. 67–92). Zürich/Basel/Genf: Schulthess Juristische Medien AG. Retrieved from https://www.unilu.ch/fileadmin/fakultaeten/rf/ruetsche/dok/Ruetsche-Schneider_Sachverhaltsfeststellung_2011.pdf</w:t>
      </w:r>
    </w:p>
    <w:p>
      <w:pPr>
        <w:spacing w:after="240" w:line="240" w:lineRule="atLeast"/>
      </w:pPr>
      <w:r>
        <w:rPr/>
        <w:t xml:space="preserve">Rütsche, B. (2006). Warum ist der Tod ein Übel? Einige Überlegungen zum Schutzzweck des Lebensrechts. In Bundesamt für Justiz (Ed.), </w:t>
      </w:r>
      <w:r>
        <w:rPr>
          <w:i w:val="1"/>
          <w:iCs w:val="1"/>
        </w:rPr>
        <w:t xml:space="preserve">Aus der Werkstatt des Rechts, Festschrift für Heinrich Koller</w:t>
      </w:r>
      <w:r>
        <w:rPr/>
        <w:t xml:space="preserve"> (pp. 77–86). Basel/Genf/München: Helbing &amp; Lichtenhahn. Retrieved from https://www.unilu.ch/fileadmin/fakultaeten/rf/ruetsche/dok/Ruetsche_FSKoller_2006.pdf</w:t>
      </w:r>
    </w:p>
    <w:p>
      <w:pPr>
        <w:spacing w:after="240" w:line="240" w:lineRule="atLeast"/>
      </w:pPr>
      <w:r>
        <w:rPr/>
        <w:t xml:space="preserve">Rütsche, B., &amp; Kley, A. (2002). eVoting aus Sicht der Wahl- und Abstimmungsfreiheit – Verfassungsrechtliche Bedeutung einer neuen Technik. In Hanna Muralt Müller &amp; Thomas Koller (Eds.), </w:t>
      </w:r>
      <w:r>
        <w:rPr>
          <w:i w:val="1"/>
          <w:iCs w:val="1"/>
        </w:rPr>
        <w:t xml:space="preserve">Tagung 2001 für Informatik und Recht</w:t>
      </w:r>
      <w:r>
        <w:rPr/>
        <w:t xml:space="preserve"> (pp. 255–278). Bern: Stämpfli Verlag.</w:t>
      </w:r>
    </w:p>
    <w:p>
      <w:pPr>
        <w:spacing w:after="240" w:line="240" w:lineRule="atLeast"/>
      </w:pPr>
      <w:r>
        <w:rPr/>
        <w:t xml:space="preserve">Feuz, R., &amp; Rütsche, B. (2001). Les procédures d’octroi des concessions. In Schulthess (Ed.), </w:t>
      </w:r>
      <w:r>
        <w:rPr>
          <w:i w:val="1"/>
          <w:iCs w:val="1"/>
        </w:rPr>
        <w:t xml:space="preserve">Le droit des télécommunications en mutation</w:t>
      </w:r>
      <w:r>
        <w:rPr/>
        <w:t xml:space="preserve"> (pp. 143–162). Fribourg: Éditions universitaires.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Büchler Andrea, &amp; Rütsche Bernhard (Eds.). (2020). </w:t>
      </w:r>
      <w:r>
        <w:rPr>
          <w:i w:val="1"/>
          <w:iCs w:val="1"/>
        </w:rPr>
        <w:t xml:space="preserve">Fortpflanzungsmedizingesetz (FMedG)</w:t>
      </w:r>
      <w:r>
        <w:rPr/>
        <w:t xml:space="preserve"> (Stämpflis Handkommentar). Bern: Stämpfli.</w:t>
      </w:r>
    </w:p>
    <w:p>
      <w:pPr>
        <w:spacing w:after="240" w:line="240" w:lineRule="atLeast"/>
      </w:pPr>
      <w:r>
        <w:rPr/>
        <w:t xml:space="preserve">Gächter, Thomas, Rütsche, Bernhard, &amp; Tag, Brigitte (Eds.). (2020). </w:t>
      </w:r>
      <w:r>
        <w:rPr>
          <w:i w:val="1"/>
          <w:iCs w:val="1"/>
        </w:rPr>
        <w:t xml:space="preserve">Textausgabe Medizin- und Gesundheitsrecht, Schweizerisches und internationales Recht</w:t>
      </w:r>
      <w:r>
        <w:rPr/>
        <w:t xml:space="preserve"> (4. Auflage). Basel: Helbing &amp; Lichtenhahn.</w:t>
      </w:r>
    </w:p>
    <w:p>
      <w:pPr>
        <w:spacing w:after="240" w:line="240" w:lineRule="atLeast"/>
      </w:pPr>
      <w:r>
        <w:rPr/>
        <w:t xml:space="preserve">Hettich, Peter, Rütsche, Bernhard, &amp; Baeriswyl, Jonas (Eds.). (2016). </w:t>
      </w:r>
      <w:r>
        <w:rPr>
          <w:i w:val="1"/>
          <w:iCs w:val="1"/>
        </w:rPr>
        <w:t xml:space="preserve">Erlasse zum Wirtschaftsverfassungs- und Wirtschaftsverwaltungsrecht</w:t>
      </w:r>
      <w:r>
        <w:rPr/>
        <w:t xml:space="preserve"> (6. Auflage). Bern: Stämpfli Verlag.</w:t>
      </w:r>
    </w:p>
    <w:p>
      <w:pPr>
        <w:spacing w:after="240" w:line="240" w:lineRule="atLeast"/>
      </w:pPr>
      <w:r>
        <w:rPr/>
        <w:t xml:space="preserve">Gächter, Thomas, Rütsche, Bernhard, &amp; Tag, Brigitte (Eds.). (2016). </w:t>
      </w:r>
      <w:r>
        <w:rPr>
          <w:i w:val="1"/>
          <w:iCs w:val="1"/>
        </w:rPr>
        <w:t xml:space="preserve">Textausgabe Medizin- und Gesundheitsrecht. Schweizerisches und internationales Recht</w:t>
      </w:r>
      <w:r>
        <w:rPr/>
        <w:t xml:space="preserve"> (3. Auflage). Basel: Helbing &amp; Lichtenhahn.</w:t>
      </w:r>
    </w:p>
    <w:p>
      <w:pPr>
        <w:spacing w:after="240" w:line="240" w:lineRule="atLeast"/>
      </w:pPr>
      <w:r>
        <w:rPr/>
        <w:t xml:space="preserve">Rütsche, Bernhard (Ed.). (2015). </w:t>
      </w:r>
      <w:r>
        <w:rPr>
          <w:i w:val="1"/>
          <w:iCs w:val="1"/>
        </w:rPr>
        <w:t xml:space="preserve">Humanforschungsgesetz (HFG)</w:t>
      </w:r>
      <w:r>
        <w:rPr/>
        <w:t xml:space="preserve"> (Stämpflis Handkommentar). Bern: Stämpfli Verlag.</w:t>
      </w:r>
    </w:p>
    <w:p>
      <w:pPr>
        <w:spacing w:after="240" w:line="240" w:lineRule="atLeast"/>
      </w:pPr>
      <w:r>
        <w:rPr/>
        <w:t xml:space="preserve">Rütsche, Bernhard, &amp; Fellmann, Walter (Eds.). (2014). </w:t>
      </w:r>
      <w:r>
        <w:rPr>
          <w:i w:val="1"/>
          <w:iCs w:val="1"/>
        </w:rPr>
        <w:t xml:space="preserve">Aktuelle Fragen des Staatshaftungsrechts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Elger, Bernice S., Biller-Andorno, Nikola, &amp; Rütsche, Bernhard (Eds.). (2014). </w:t>
      </w:r>
      <w:r>
        <w:rPr>
          <w:i w:val="1"/>
          <w:iCs w:val="1"/>
        </w:rPr>
        <w:t xml:space="preserve">Ethik und Recht in Medizin und Biowissenschaften. Aktuelle Fallbeispiele aus klinischer Praxis und Forschung</w:t>
      </w:r>
      <w:r>
        <w:rPr/>
        <w:t xml:space="preserve">. Berlin: De Gruyter.</w:t>
      </w:r>
    </w:p>
    <w:p>
      <w:pPr>
        <w:spacing w:after="240" w:line="240" w:lineRule="atLeast"/>
      </w:pPr>
      <w:r>
        <w:rPr/>
        <w:t xml:space="preserve">Rütsche, Bernhard (Ed.). (2013). </w:t>
      </w:r>
      <w:r>
        <w:rPr>
          <w:i w:val="1"/>
          <w:iCs w:val="1"/>
        </w:rPr>
        <w:t xml:space="preserve">Medizinprodukte: Regulierung und Haftung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Norer, Roland, &amp; Rütsche, Bernhard (Eds.). (2013). </w:t>
      </w:r>
      <w:r>
        <w:rPr>
          <w:i w:val="1"/>
          <w:iCs w:val="1"/>
        </w:rPr>
        <w:t xml:space="preserve">Rechtliche Umsetzung der Zweitwohnungsinitiative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Gächter, Thomas, Rütsche, Bernhard, &amp; Tag, Brigitte (Eds.). (2013). </w:t>
      </w:r>
      <w:r>
        <w:rPr>
          <w:i w:val="1"/>
          <w:iCs w:val="1"/>
        </w:rPr>
        <w:t xml:space="preserve">Textausgabe Medizin- und Gesundheitsrecht. Schweizerisches und internationales Recht</w:t>
      </w:r>
      <w:r>
        <w:rPr/>
        <w:t xml:space="preserve"> (2. Auflage). Basel: Helbing &amp; Lichtenhahn.</w:t>
      </w:r>
    </w:p>
    <w:p>
      <w:pPr>
        <w:spacing w:after="240" w:line="240" w:lineRule="atLeast"/>
      </w:pPr>
      <w:r>
        <w:rPr/>
        <w:t xml:space="preserve">Gächter, Thomas, Rütsche, Bernhard, &amp; Tag, Brigitte (Eds.). (2010). </w:t>
      </w:r>
      <w:r>
        <w:rPr>
          <w:i w:val="1"/>
          <w:iCs w:val="1"/>
        </w:rPr>
        <w:t xml:space="preserve">Textausgabe Medizin- und Gesundheitsrecht. Schweizerisches und internationales Recht</w:t>
      </w:r>
      <w:r>
        <w:rPr/>
        <w:t xml:space="preserve">. Basel: Helbing &amp; Lichtenhahn.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Rütsche, B. (27 January 2025). Was ist gute Regulierung? </w:t>
      </w:r>
      <w:r>
        <w:rPr>
          <w:i w:val="1"/>
          <w:iCs w:val="1"/>
        </w:rPr>
        <w:t xml:space="preserve">zentralinfo (Mitgliedermagazin der Industrie- und Handelskammer Zentralschweiz IHZ)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6–7. https://doi.org/10.5281/zenodo.17467304</w:t>
      </w:r>
    </w:p>
    <w:p>
      <w:pPr>
        <w:spacing w:after="240" w:line="240" w:lineRule="atLeast"/>
      </w:pPr>
      <w:r>
        <w:rPr/>
        <w:t xml:space="preserve">Rütsche, B. (2023). Wegfall des MRA: Auswirkungen auf die Zentralschweizer Maschinenindustrie. </w:t>
      </w:r>
      <w:r>
        <w:rPr>
          <w:i w:val="1"/>
          <w:iCs w:val="1"/>
        </w:rPr>
        <w:t xml:space="preserve">zentralinfo (Informationen der Industrie- und Handelskammer Zentralschweiz)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12–13.</w:t>
      </w:r>
    </w:p>
    <w:p>
      <w:pPr>
        <w:spacing w:after="240" w:line="240" w:lineRule="atLeast"/>
      </w:pPr>
      <w:r>
        <w:rPr/>
        <w:t xml:space="preserve">Rütsche, B. (15 December 2021). Sind ‘Schwarze Listen’ legitim? </w:t>
      </w:r>
      <w:r>
        <w:rPr>
          <w:i w:val="1"/>
          <w:iCs w:val="1"/>
        </w:rPr>
        <w:t xml:space="preserve">Cogito - Das Wissensmagazin der Universität Luzern</w:t>
      </w:r>
      <w:r>
        <w:rPr/>
        <w:t xml:space="preserve">. Retrieved from https://www.unilu.ch/magazin/artikel/sind-schwarze-listen-legitim-11748/</w:t>
      </w:r>
    </w:p>
    <w:p>
      <w:pPr>
        <w:spacing w:after="240" w:line="240" w:lineRule="atLeast"/>
      </w:pPr>
      <w:r>
        <w:rPr/>
        <w:t xml:space="preserve">Rütsche, B. (28 June 2021). Interview: Regulierter Wettbewerb im Gesundheitswesen. </w:t>
      </w:r>
      <w:r>
        <w:rPr>
          <w:i w:val="1"/>
          <w:iCs w:val="1"/>
        </w:rPr>
        <w:t xml:space="preserve">Krankenversichererverband curafutura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Rütsche, B. (24 June 2021). Massnahmenpaket schwächt Tarifautonomie und Wettbewerb. </w:t>
      </w:r>
      <w:r>
        <w:rPr>
          <w:i w:val="1"/>
          <w:iCs w:val="1"/>
        </w:rPr>
        <w:t xml:space="preserve">curafutura, Die innovativen Krankenversicherer, Newsletter 2/21</w:t>
      </w:r>
      <w:r>
        <w:rPr/>
        <w:t xml:space="preserve">. Retrieved from https://www.unilu.ch/fakultaeten/rf/professuren/ruetsche-bernhard/news/interview-regulierter-wettbewerb-im-gesundheitswesen-5982/</w:t>
      </w:r>
    </w:p>
    <w:p>
      <w:pPr>
        <w:spacing w:after="240" w:line="240" w:lineRule="atLeast"/>
      </w:pPr>
      <w:r>
        <w:rPr/>
        <w:t xml:space="preserve">Rütsche, B., Aebi-Müller, R. E., &amp; Fellmann, W. (19 March 2021). Corona und Verschiebung planbarer Operationen. </w:t>
      </w:r>
      <w:r>
        <w:rPr>
          <w:i w:val="1"/>
          <w:iCs w:val="1"/>
        </w:rPr>
        <w:t xml:space="preserve">Neue Zürcher Zeitung</w:t>
      </w:r>
      <w:r>
        <w:rPr/>
        <w:t xml:space="preserve">, 19. https://doi.org/10.5281/zenodo.5077992</w:t>
      </w:r>
    </w:p>
    <w:p>
      <w:pPr>
        <w:spacing w:after="240" w:line="240" w:lineRule="atLeast"/>
      </w:pPr>
      <w:r>
        <w:rPr/>
        <w:t xml:space="preserve">Rütsche, B. (24 January 2021). Interview zu Rechtsfragen im Zusammenhang mit der Covid-19-Impfung. </w:t>
      </w:r>
      <w:r>
        <w:rPr>
          <w:i w:val="1"/>
          <w:iCs w:val="1"/>
        </w:rPr>
        <w:t xml:space="preserve">Industrie- und Handelskammer Zentralschweiz (IHZ)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Rütsche, B. (18 March 2020). Wer kommt zuerst an die Beatmungsmaschine: der junge Verbrecher oder die 90-jährige Frau? </w:t>
      </w:r>
      <w:r>
        <w:rPr>
          <w:i w:val="1"/>
          <w:iCs w:val="1"/>
        </w:rPr>
        <w:t xml:space="preserve">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Rütsche, B. (8 August 2019). Alles menschliche Leben hat von der Geburt bis zum Tod den gleichen Wert. </w:t>
      </w:r>
      <w:r>
        <w:rPr>
          <w:i w:val="1"/>
          <w:iCs w:val="1"/>
        </w:rPr>
        <w:t xml:space="preserve">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Poledna, T., &amp; Rütsche, B. (18 April 2013). Diskriminierung von Ärzten aus dem EU- und Efta-Raum. </w:t>
      </w:r>
      <w:r>
        <w:rPr>
          <w:i w:val="1"/>
          <w:iCs w:val="1"/>
        </w:rPr>
        <w:t xml:space="preserve">NZZ</w:t>
      </w:r>
      <w:r>
        <w:rPr/>
        <w:t xml:space="preserve">. Retrieved from https://www.unilu.ch/fileadmin/fakultaeten/rf/ruetsche/dok/DiskriminierungvonAErzten_NZZ_April2013.pdf</w:t>
      </w:r>
    </w:p>
    <w:p>
      <w:pPr>
        <w:spacing w:after="240" w:line="240" w:lineRule="atLeast"/>
      </w:pPr>
      <w:r>
        <w:rPr/>
        <w:t xml:space="preserve">Schwander, V., &amp; Rütsche, B. (1 April 2008). Verletzt Forschung mit Kindern deren Würde? Zum Entwurf eines Verfassungsartikels über die Forschung am Menschen. </w:t>
      </w:r>
      <w:r>
        <w:rPr>
          <w:i w:val="1"/>
          <w:iCs w:val="1"/>
        </w:rPr>
        <w:t xml:space="preserve">NZZ</w:t>
      </w:r>
      <w:r>
        <w:rPr/>
        <w:t xml:space="preserve">. Retrieved from https://www.unilu.ch/fileadmin/fakultaeten/rf/ruetsche/dok/Schwander-RuetscheNZZ-Artikel_Forschung_am_Menschen_2008.pdf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for Commentary</w:t>
      </w:r>
    </w:p>
    <w:p>
      <w:pPr>
        <w:spacing w:after="240" w:line="240" w:lineRule="atLeast"/>
      </w:pPr>
      <w:r>
        <w:rPr/>
        <w:t xml:space="preserve">Poledna, T., &amp; Rütsche, B. (2023). Kommentar zu Art. 118 BV. In Bernhard Ehrenzeller/Patricia Egli/Peter Hettich/Peter Hongler/Benjamin Schindler/Stefan G. Schmid/Rainer J. Schweizer (Ed.), </w:t>
      </w:r>
      <w:r>
        <w:rPr>
          <w:i w:val="1"/>
          <w:iCs w:val="1"/>
        </w:rPr>
        <w:t xml:space="preserve">Die schweizerische Bundesverfassung: St. Galler Kommentar</w:t>
      </w:r>
      <w:r>
        <w:rPr/>
        <w:t xml:space="preserve"> (4. Auflage). Zürich: DIKE Verlag.</w:t>
      </w:r>
    </w:p>
    <w:p>
      <w:pPr>
        <w:spacing w:after="240" w:line="240" w:lineRule="atLeast"/>
      </w:pPr>
      <w:r>
        <w:rPr/>
        <w:t xml:space="preserve">Rütsche, B., &amp; Baumann, P. (2023). Kommentierung zu Art. 117a und Art. 117b BV. In Ehrenzeller, Bernhard, Egli, Patricia, Hettich, Peter, Hongler, Peter, Schindler, Benjamin, Schmid, Stefan &amp; Schweizer, Rainer J. (Eds.), </w:t>
      </w:r>
      <w:r>
        <w:rPr>
          <w:i w:val="1"/>
          <w:iCs w:val="1"/>
        </w:rPr>
        <w:t xml:space="preserve">Die schweizerische Bundesverfassung: St. Galler Kommentar</w:t>
      </w:r>
      <w:r>
        <w:rPr/>
        <w:t xml:space="preserve"> (4. Auflage). Zürich: DIKE Verlag.</w:t>
      </w:r>
    </w:p>
    <w:p>
      <w:pPr>
        <w:spacing w:after="240" w:line="240" w:lineRule="atLeast"/>
      </w:pPr>
      <w:r>
        <w:rPr/>
        <w:t xml:space="preserve">Rütsche, B. (2020). Kommentar zu Art. 1 und 2 FMedG. In Büchler, Andrea &amp; Rütsche, Bernhard (Eds.), </w:t>
      </w:r>
      <w:r>
        <w:rPr>
          <w:i w:val="1"/>
          <w:iCs w:val="1"/>
        </w:rPr>
        <w:t xml:space="preserve">Fortpflanzungsmedizîngesetz (FMedG): Stämpflis Handkommentar</w:t>
      </w:r>
      <w:r>
        <w:rPr/>
        <w:t xml:space="preserve">. Bern: Stämpfli.</w:t>
      </w:r>
    </w:p>
    <w:p>
      <w:pPr>
        <w:spacing w:after="240" w:line="240" w:lineRule="atLeast"/>
      </w:pPr>
      <w:r>
        <w:rPr/>
        <w:t xml:space="preserve">Rütsche, B., &amp; Picecchi, D. (2020). Kommentar zu Art. 119 BV. In Büchler, Andrea &amp; Rütsche, Bernhard (Eds.), </w:t>
      </w:r>
      <w:r>
        <w:rPr>
          <w:i w:val="1"/>
          <w:iCs w:val="1"/>
        </w:rPr>
        <w:t xml:space="preserve">Fortpflanzungsmedizingesetz (FMedG): Stämpflis Handkommentar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Rütsche, B., &amp; Picecchi, D. (2020). Kommentar zu Art. 36, 36a, 37, 38 und 39 KVG. In Blechta, Gabor, Colatrella, Philomena, Rüedi, Hubert &amp; Staffelbach, Daniel (Eds.), </w:t>
      </w:r>
      <w:r>
        <w:rPr>
          <w:i w:val="1"/>
          <w:iCs w:val="1"/>
        </w:rPr>
        <w:t xml:space="preserve">Basler Kommentar zum Krankenversicherungsgesetz (KVG) und Krankenversicherungsaufsichtsgesetz (KVAG)</w:t>
      </w:r>
      <w:r>
        <w:rPr/>
        <w:t xml:space="preserve">. Basel: Helbing Lichtenhahn.</w:t>
      </w:r>
    </w:p>
    <w:p>
      <w:pPr>
        <w:spacing w:after="240" w:line="240" w:lineRule="atLeast"/>
      </w:pPr>
      <w:r>
        <w:rPr/>
        <w:t xml:space="preserve">Büchler, A., &amp; Rütsche, B. (2020). Kommentar zu Art. 5 und 5a FMedG. In Büchler, Andrea &amp; Rütsche, Bernhard (Eds.), </w:t>
      </w:r>
      <w:r>
        <w:rPr>
          <w:i w:val="1"/>
          <w:iCs w:val="1"/>
        </w:rPr>
        <w:t xml:space="preserve">Fortpflanzungsmedizîngesetz (FMedG): Stämpflis Handkommentar</w:t>
      </w:r>
      <w:r>
        <w:rPr/>
        <w:t xml:space="preserve">. Bern: Stämpfli.</w:t>
      </w:r>
    </w:p>
    <w:p>
      <w:pPr>
        <w:spacing w:after="240" w:line="240" w:lineRule="atLeast"/>
      </w:pPr>
      <w:r>
        <w:rPr/>
        <w:t xml:space="preserve">Rütsche, B., &amp; Zegg, L. (2020). Quellen und Entwicklungsgeschichte des Fortpflanzungsmedizinrechts. In Büchler, Andrea &amp; Rütsche, Bernhard (Eds.), </w:t>
      </w:r>
      <w:r>
        <w:rPr>
          <w:i w:val="1"/>
          <w:iCs w:val="1"/>
        </w:rPr>
        <w:t xml:space="preserve">Fortpflanzungsmedizingesetz (FMedG): Stämpflis Handkommentar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Rütsche, B., &amp; Schläpfer, L. (2015). Ethik und Grundprinzipien der Humanforschung. In Rütsche, Bernhard (Ed.), </w:t>
      </w:r>
      <w:r>
        <w:rPr>
          <w:i w:val="1"/>
          <w:iCs w:val="1"/>
        </w:rPr>
        <w:t xml:space="preserve">Humanforschungsgesetz (HFG)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Rütsche, B. (2015). Kommentar zu Art. 1, 26, 27, 39 und 40 HFG. In Rütsche, Bernhard (Ed.), </w:t>
      </w:r>
      <w:r>
        <w:rPr>
          <w:i w:val="1"/>
          <w:iCs w:val="1"/>
        </w:rPr>
        <w:t xml:space="preserve">Humanforschungsgesetz (HFG)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Rütsche, B., &amp; D’Amico, N. (2015). Kommentar zu Art. 118b BV. In Rütsche, Bernhard (Ed.), </w:t>
      </w:r>
      <w:r>
        <w:rPr>
          <w:i w:val="1"/>
          <w:iCs w:val="1"/>
        </w:rPr>
        <w:t xml:space="preserve">Humanforschungsgesetz (HFG)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Karavas, V., &amp; Rütsche, B. (2015). Kommentar zu Art. 17 HFG. In Rütsche, Bernhard (Ed.), </w:t>
      </w:r>
      <w:r>
        <w:rPr>
          <w:i w:val="1"/>
          <w:iCs w:val="1"/>
        </w:rPr>
        <w:t xml:space="preserve">Humanforschungsgesetz (HFG)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Rütsche, B., &amp; Anner, M. (2015). Kommentar zu Art. 41, 42, 43 und 44 HFG. In Niggli, Probst, Waldmann (Ed.), </w:t>
      </w:r>
      <w:r>
        <w:rPr>
          <w:i w:val="1"/>
          <w:iCs w:val="1"/>
        </w:rPr>
        <w:t xml:space="preserve">Humanforschungsgesetz (HFG)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Rütsche, B., &amp; Byland, H. (2015). Kommentierung zu Art. 29 und 30 GUMG. In Fischer, Luterbacher (Ed.), </w:t>
      </w:r>
      <w:r>
        <w:rPr>
          <w:i w:val="1"/>
          <w:iCs w:val="1"/>
        </w:rPr>
        <w:t xml:space="preserve">Haftpflichtkommentar, Kommentar zu den schweizerischen Haftpflichtbestimmungen</w:t>
      </w:r>
      <w:r>
        <w:rPr/>
        <w:t xml:space="preserve">. Zürich/St. Gallen: Dike Verlag.</w:t>
      </w:r>
    </w:p>
    <w:p>
      <w:pPr>
        <w:spacing w:after="240" w:line="240" w:lineRule="atLeast"/>
      </w:pPr>
      <w:r>
        <w:rPr/>
        <w:t xml:space="preserve">Rütsche, B. (2014). Kommentar zu Art. 16-17a und 16 SVG. In Niggli, Probst, Waldmann (Ed.), </w:t>
      </w:r>
      <w:r>
        <w:rPr>
          <w:i w:val="1"/>
          <w:iCs w:val="1"/>
        </w:rPr>
        <w:t xml:space="preserve">Basler Kommentar zum Strassenverkehrsgesetz, BSK-SVG</w:t>
      </w:r>
      <w:r>
        <w:rPr/>
        <w:t xml:space="preserve">. Basel: Helbing &amp; Lichtenhahn.</w:t>
      </w:r>
    </w:p>
    <w:p>
      <w:pPr>
        <w:spacing w:after="240" w:line="240" w:lineRule="atLeast"/>
      </w:pPr>
      <w:r>
        <w:rPr/>
        <w:t xml:space="preserve">Rütsche, B., &amp; Weber, D. (2014). Kommentar zu Art. 16a, 16b, 16c, 16cbis, 16e, 17 und 17a SVG. In Niggli, Probst, Waldmann (Ed.), </w:t>
      </w:r>
      <w:r>
        <w:rPr>
          <w:i w:val="1"/>
          <w:iCs w:val="1"/>
        </w:rPr>
        <w:t xml:space="preserve">Basler Kommentar zum Strassenverkehrsgesetz, BSK-SVG</w:t>
      </w:r>
      <w:r>
        <w:rPr/>
        <w:t xml:space="preserve">. Basel: Helbing &amp; Lichtenhahn.</w:t>
      </w:r>
    </w:p>
    <w:p>
      <w:pPr>
        <w:spacing w:after="240" w:line="240" w:lineRule="atLeast"/>
      </w:pPr>
      <w:r>
        <w:rPr/>
        <w:t xml:space="preserve">Rütsche, B., &amp; D’Amico, N. (2014). Kommentar zu Art. 16d SVG. In Niggli, Probst, Waldmann (Ed.), </w:t>
      </w:r>
      <w:r>
        <w:rPr>
          <w:i w:val="1"/>
          <w:iCs w:val="1"/>
        </w:rPr>
        <w:t xml:space="preserve">Basler Kommentar zum Strassenverkehrsgesetz, BSK-SVG</w:t>
      </w:r>
      <w:r>
        <w:rPr/>
        <w:t xml:space="preserve">. Basel: Helbing &amp; Lichtenhahn.</w:t>
      </w:r>
    </w:p>
    <w:p>
      <w:pPr>
        <w:spacing w:after="240" w:line="240" w:lineRule="atLeast"/>
      </w:pPr>
      <w:r>
        <w:rPr/>
        <w:t xml:space="preserve">Rütsche, B., &amp; Schneider, D. (2014). Kommentar zu Art. 22, 23 und 24 SVG. In Niggli, Probst, Waldmann (Ed.), </w:t>
      </w:r>
      <w:r>
        <w:rPr>
          <w:i w:val="1"/>
          <w:iCs w:val="1"/>
        </w:rPr>
        <w:t xml:space="preserve">Basler Kommentar zum Strassenverkehrsgesetz, BSK-SVG</w:t>
      </w:r>
      <w:r>
        <w:rPr/>
        <w:t xml:space="preserve">. Basel: Helbing &amp; Lichtenhahn.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Diebold, N., &amp; Rütsche, B. (2021). </w:t>
      </w:r>
      <w:r>
        <w:rPr>
          <w:i w:val="1"/>
          <w:iCs w:val="1"/>
        </w:rPr>
        <w:t xml:space="preserve">Gutachten «Beschaffungsrechtliche Sanktionsliste»</w:t>
      </w:r>
      <w:r>
        <w:rPr/>
        <w:t xml:space="preserve">. Bern. https://doi.org/10.5281/zenodo.8290095</w:t>
      </w:r>
    </w:p>
    <w:p>
      <w:pPr>
        <w:spacing w:after="240" w:line="240" w:lineRule="atLeast"/>
      </w:pPr>
      <w:r>
        <w:rPr/>
        <w:t xml:space="preserve">Diebold, N., &amp; Rütsche, B. (15 April 2020). </w:t>
      </w:r>
      <w:r>
        <w:rPr>
          <w:i w:val="1"/>
          <w:iCs w:val="1"/>
        </w:rPr>
        <w:t xml:space="preserve">Rechtsgutachten ‘Verhältnis zwischen Personenbeförderungs- und Wettbewerbsrecht mit Blick auf den Ticketvertrieb im öffentlichen Verkehr’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Rütsche, B. (2025). Standpunkt / Marktregulierung: Mehr Wettbewerb im Gesundheitswesen? </w:t>
      </w:r>
      <w:r>
        <w:rPr>
          <w:i w:val="1"/>
          <w:iCs w:val="1"/>
        </w:rPr>
        <w:t xml:space="preserve">Schweizerische Zeitschrift für Kartell- und Wettbewerbsrecht</w:t>
      </w:r>
      <w:r>
        <w:rPr/>
        <w:t xml:space="preserve">, (01), 45–46.</w:t>
      </w:r>
    </w:p>
    <w:p>
      <w:pPr>
        <w:spacing w:after="240" w:line="240" w:lineRule="atLeast"/>
      </w:pPr>
      <w:r>
        <w:rPr/>
        <w:t xml:space="preserve">Rütsche, B. (2006). Rezension von Alois Riklin: Machtteilung. Geschichte der Mischverfassung. </w:t>
      </w:r>
      <w:r>
        <w:rPr>
          <w:i w:val="1"/>
          <w:iCs w:val="1"/>
        </w:rPr>
        <w:t xml:space="preserve">ZBJV</w:t>
      </w:r>
      <w:r>
        <w:rPr/>
        <w:t xml:space="preserve">, (11), 905–908.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Translation</w:t>
      </w:r>
    </w:p>
    <w:p>
      <w:pPr>
        <w:spacing w:after="240" w:line="240" w:lineRule="atLeast"/>
      </w:pPr>
      <w:r>
        <w:rPr/>
        <w:t xml:space="preserve">Kley, A., &amp; Rütsche, B. (1999). </w:t>
      </w:r>
      <w:r>
        <w:rPr>
          <w:i w:val="1"/>
          <w:iCs w:val="1"/>
        </w:rPr>
        <w:t xml:space="preserve">Übersetzung und Bearbeitung EGMR-Urteil Ursula Balmer-Schafroth u.a. gegen die Schweiz vom 26. August 1997</w:t>
      </w:r>
      <w:r>
        <w:rPr/>
        <w:t xml:space="preserve">. (Kley, Andreas &amp; Rütsche, Bernhard, Trans.) (pp. 183–188). Kehl am Rhein.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Case Notes</w:t>
      </w:r>
    </w:p>
    <w:p>
      <w:pPr>
        <w:spacing w:after="240" w:line="240" w:lineRule="atLeast"/>
      </w:pPr>
      <w:r>
        <w:rPr/>
        <w:t xml:space="preserve">Rütsche, B. (April 2022). Zuständigkeit zur Beurteilung eines personalrechtlichen Entscheids des Vorstands der EDK; negativer Kompetenzkonflikt, Bemerkungen zum Urteil des Bundesgerichts vom 26. April 2022 i.S. A. gegen EDK/GDK (8C_783/2021). </w:t>
      </w:r>
      <w:r>
        <w:rPr>
          <w:i w:val="1"/>
          <w:iCs w:val="1"/>
        </w:rPr>
        <w:t xml:space="preserve">BVR</w:t>
      </w:r>
      <w:r>
        <w:rPr/>
        <w:t xml:space="preserve">, (7/8), 319–321.</w:t>
      </w:r>
    </w:p>
    <w:p>
      <w:pPr>
        <w:spacing w:after="240" w:line="240" w:lineRule="atLeast"/>
      </w:pPr>
      <w:r>
        <w:rPr/>
        <w:t xml:space="preserve">Rütsche, B. (2021). Rechtsschutz gegen Entscheide interkantonaler Organe, Bemerkungen zum Urteil des Verwaltungsgerichts des Kantons Bern vom 16. Februar 2021 i.S. A. gegen EDK (VGE 100.2020.402). </w:t>
      </w:r>
      <w:r>
        <w:rPr>
          <w:i w:val="1"/>
          <w:iCs w:val="1"/>
        </w:rPr>
        <w:t xml:space="preserve">BVR</w:t>
      </w:r>
      <w:r>
        <w:rPr/>
        <w:t xml:space="preserve">, (7/8), 357–358.</w:t>
      </w:r>
    </w:p>
    <w:p>
      <w:pPr>
        <w:spacing w:after="240" w:line="240" w:lineRule="atLeast"/>
      </w:pPr>
      <w:r>
        <w:rPr/>
        <w:t xml:space="preserve">Rütsche, B. (March 2014). Jährliche Zweitwohnungssteuer in Silvaplana, Besprechung des Bundesgerichtsurteils 2C_1076/2012, 2C_1088/2012 vom 27. März 2014. </w:t>
      </w:r>
      <w:r>
        <w:rPr>
          <w:i w:val="1"/>
          <w:iCs w:val="1"/>
        </w:rPr>
        <w:t xml:space="preserve">ZBl</w:t>
      </w:r>
      <w:r>
        <w:rPr/>
        <w:t xml:space="preserve">, (115), 426–440.</w:t>
      </w:r>
    </w:p>
    <w:p>
      <w:pPr>
        <w:spacing w:after="240" w:line="240" w:lineRule="atLeast"/>
      </w:pPr>
      <w:r>
        <w:rPr/>
        <w:t xml:space="preserve">Rütsche, B. (2013). Rechtsverweigerung; Handlungsform und Verfahrensart im Subventionsverhältnis, Bemerkungen zum Urteil des Verwaltungsgerichts des Kantons Bern vom 4. Februar 2013 i.S. Schulheim X. und Mitb. gegen Kanton Bern. </w:t>
      </w:r>
      <w:r>
        <w:rPr>
          <w:i w:val="1"/>
          <w:iCs w:val="1"/>
        </w:rPr>
        <w:t xml:space="preserve">BVR</w:t>
      </w:r>
      <w:r>
        <w:rPr/>
        <w:t xml:space="preserve">, (5), 238–240.</w:t>
      </w:r>
    </w:p>
    <w:p>
      <w:pPr>
        <w:spacing w:after="240" w:line="240" w:lineRule="atLeast"/>
      </w:pPr>
      <w:r>
        <w:rPr/>
        <w:t xml:space="preserve">Rütsche, B. (2013). Verwahrung aus Fürsorge: Bemerkungen zu BGE 138 III 593 - Anordnung der fürsorgerischen Freiheitsentziehung wegen Fremdgefährdung. </w:t>
      </w:r>
      <w:r>
        <w:rPr>
          <w:i w:val="1"/>
          <w:iCs w:val="1"/>
        </w:rPr>
        <w:t xml:space="preserve">SZK</w:t>
      </w:r>
      <w:r>
        <w:rPr/>
        <w:t xml:space="preserve">, (1), 30–34.</w:t>
      </w:r>
    </w:p>
    <w:p>
      <w:pPr>
        <w:spacing w:after="240" w:line="240" w:lineRule="atLeast"/>
      </w:pPr>
      <w:r>
        <w:rPr/>
        <w:t xml:space="preserve">Rütsche, B., &amp; Goldenberger Rauchenstein, R. (2012). Urteil des Bundesgerichts vom 7. Dezember 2010 (2C_128/2010) betreffend Gemeindebeiträge für spitalexterne Pflege (Spitex). </w:t>
      </w:r>
      <w:r>
        <w:rPr>
          <w:i w:val="1"/>
          <w:iCs w:val="1"/>
        </w:rPr>
        <w:t xml:space="preserve">Pflegerecht</w:t>
      </w:r>
      <w:r>
        <w:rPr/>
        <w:t xml:space="preserve">, (2), 108–109.</w:t>
      </w:r>
    </w:p>
    <w:p>
      <w:pPr>
        <w:spacing w:after="240" w:line="240" w:lineRule="atLeast"/>
      </w:pPr>
      <w:r>
        <w:rPr/>
        <w:t xml:space="preserve">Rütsche, B., &amp; Zaugg, H. (2012). Urteil des Bundesgerichts vom 21. Dezember 2010 (9C_702/2010) betreffend Vergütung von Pflegeleistungen. </w:t>
      </w:r>
      <w:r>
        <w:rPr>
          <w:i w:val="1"/>
          <w:iCs w:val="1"/>
        </w:rPr>
        <w:t xml:space="preserve">Pflegerecht</w:t>
      </w:r>
      <w:r>
        <w:rPr/>
        <w:t xml:space="preserve">, (1), 50–54. Retrieved from https://www.unilu.ch/fileadmin/fakultaeten/rf/ruetsche/dok/Ruetsche-Zaugg_Pflegerecht_01_2012.pdf</w:t>
      </w:r>
    </w:p>
    <w:p>
      <w:pPr>
        <w:spacing w:after="240" w:line="240" w:lineRule="atLeast"/>
      </w:pPr>
      <w:r>
        <w:rPr/>
        <w:t xml:space="preserve">Rütsche, B., &amp; Wildhaber, I. (2010). Urteil des Europäischen Gerichtshofs für Menschenrechte in Sachen S.H. et al. gegen Österreich betreffend Verbote der Eizellen- und Samenspende. </w:t>
      </w:r>
      <w:r>
        <w:rPr>
          <w:i w:val="1"/>
          <w:iCs w:val="1"/>
        </w:rPr>
        <w:t xml:space="preserve">AJP</w:t>
      </w:r>
      <w:r>
        <w:rPr/>
        <w:t xml:space="preserve">, (6), 803–808.</w:t>
      </w:r>
    </w:p>
    <w:p>
      <w:pPr>
        <w:spacing w:after="240" w:line="240" w:lineRule="atLeast"/>
      </w:pPr>
      <w:r>
        <w:rPr/>
        <w:t xml:space="preserve">Rütsche, B. (2003). Grenzen der Verfassungsgerichtsbarkeit, Besprechung von BGE 129 I 185. </w:t>
      </w:r>
      <w:r>
        <w:rPr>
          <w:i w:val="1"/>
          <w:iCs w:val="1"/>
        </w:rPr>
        <w:t xml:space="preserve">ius.full</w:t>
      </w:r>
      <w:r>
        <w:rPr/>
        <w:t xml:space="preserve">, (4), 160–163.</w:t>
      </w:r>
    </w:p>
    <w:p>
      <w:pPr>
        <w:spacing w:after="240" w:line="240" w:lineRule="atLeast"/>
      </w:pPr>
      <w:r>
        <w:rPr/>
        <w:t xml:space="preserve">Schüpbach, M., &amp; Rütsche, B. (April 2001). Diskriminierende Äusserungen auf einem Kundgebungsplakat: "Europa dein Weg zur Hölle ist: ... ", Besprechung des Entscheids des Zürcher Verwaltungsgerichts vom 13. April 2000 (ZBl 2001 S. 103 ff.). </w:t>
      </w:r>
      <w:r>
        <w:rPr>
          <w:i w:val="1"/>
          <w:iCs w:val="1"/>
        </w:rPr>
        <w:t xml:space="preserve">jusletter</w:t>
      </w:r>
      <w:r>
        <w:rPr/>
        <w:t xml:space="preserve">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Bernhard Rütsche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Bernhard Rütsche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